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A6D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D563C8" w:rsidRPr="00744CCF" w:rsidRDefault="00D563C8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D14E59" w:rsidP="00C3487E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  <w:r w:rsidRPr="00744CCF">
        <w:rPr>
          <w:noProof/>
          <w:szCs w:val="24"/>
        </w:rPr>
        <w:drawing>
          <wp:inline distT="0" distB="0" distL="0" distR="0">
            <wp:extent cx="1323975" cy="1857375"/>
            <wp:effectExtent l="0" t="0" r="9525" b="9525"/>
            <wp:docPr id="267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 w:rsidP="00AC7A6D">
      <w:pPr>
        <w:pStyle w:val="Rodap"/>
        <w:tabs>
          <w:tab w:val="clear" w:pos="4419"/>
          <w:tab w:val="clear" w:pos="8838"/>
        </w:tabs>
        <w:ind w:left="3545" w:firstLine="709"/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0A0CB8">
      <w:pPr>
        <w:pStyle w:val="Rodap"/>
        <w:tabs>
          <w:tab w:val="clear" w:pos="4419"/>
          <w:tab w:val="clear" w:pos="8838"/>
        </w:tabs>
        <w:rPr>
          <w:szCs w:val="24"/>
        </w:rPr>
      </w:pPr>
      <w:r>
        <w:rPr>
          <w:noProof/>
          <w:szCs w:val="24"/>
        </w:rPr>
      </w:r>
      <w:r>
        <w:rPr>
          <w:noProof/>
          <w:szCs w:val="24"/>
        </w:rPr>
        <w:pict>
          <v:group id="Tela 262" o:spid="_x0000_s1026" editas="canvas" style="width:467.75pt;height:180.35pt;mso-position-horizontal-relative:char;mso-position-vertical-relative:line" coordsize="59404,22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9404;height:22904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9" o:spid="_x0000_s1028" type="#_x0000_t202" style="position:absolute;width:59398;height:5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kjrsEA&#10;AADaAAAADwAAAGRycy9kb3ducmV2LnhtbESP3WoCMRSE74W+QziF3tVsLVZdjaKFghe96eoDHJLj&#10;7tLNyZJk/96+KQheDjPzDbM7jLYRPflQO1bwNs9AEGtnai4VXC9fr2sQISIbbByTgokCHPZPsx3m&#10;xg38Q30RS5EgHHJUUMXY5lIGXZHFMHctcfJuzluMSfpSGo9DgttGLrLsQ1qsOS1U2NJnRfq36KyC&#10;49CtNsvppJdTH2zRffeD9lKpl+fxuAURaYyP8L19Ngre4f9KugF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pI67BAAAA2gAAAA8AAAAAAAAAAAAAAAAAmAIAAGRycy9kb3du&#10;cmV2LnhtbFBLBQYAAAAABAAEAPUAAACGAwAAAAA=&#10;" filled="f" fillcolor="#903" stroked="f">
              <v:textbox style="mso-fit-shape-to-text:t" inset="1.87961mm,.93981mm,1.87961mm,.93981mm">
                <w:txbxContent>
                  <w:p w:rsidR="00273411" w:rsidRPr="00D14E59" w:rsidRDefault="00273411" w:rsidP="00AC7A6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65"/>
                        <w:szCs w:val="88"/>
                        <w:lang w:val="en-US"/>
                      </w:rPr>
                    </w:pPr>
                    <w:r w:rsidRPr="00D14E59"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65"/>
                        <w:szCs w:val="88"/>
                        <w:lang w:val="en-US"/>
                      </w:rPr>
                      <w:t>CEASA-PE/O.S.</w:t>
                    </w:r>
                  </w:p>
                </w:txbxContent>
              </v:textbox>
            </v:shape>
            <v:shape id="Text Box 260" o:spid="_x0000_s1029" type="#_x0000_t202" style="position:absolute;left:1130;top:7918;width:57703;height:129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72sEA&#10;AADaAAAADwAAAGRycy9kb3ducmV2LnhtbESP3WoCMRSE74W+QziF3tVspVZdjaKFghe96eoDHJLj&#10;7tLNyZJk/96+KQheDjPzDbM7jLYRPflQO1bwNs9AEGtnai4VXC9fr2sQISIbbByTgokCHPZPsx3m&#10;xg38Q30RS5EgHHJUUMXY5lIGXZHFMHctcfJuzluMSfpSGo9DgttGLrLsQ1qsOS1U2NJnRfq36KyC&#10;49CtNsvppJdTH2zRffeD9lKpl+fxuAURaYyP8L19Ngre4f9KugF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Au9rBAAAA2gAAAA8AAAAAAAAAAAAAAAAAmAIAAGRycy9kb3du&#10;cmV2LnhtbFBLBQYAAAAABAAEAPUAAACGAwAAAAA=&#10;" filled="f" fillcolor="#903" stroked="f">
              <v:textbox style="mso-fit-shape-to-text:t" inset="1.87961mm,.93981mm,1.87961mm,.93981mm">
                <w:txbxContent>
                  <w:p w:rsidR="00273411" w:rsidRPr="00D14E59" w:rsidRDefault="00273411" w:rsidP="00AC7A6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44"/>
                        <w:szCs w:val="60"/>
                      </w:rPr>
                    </w:pPr>
                    <w:r w:rsidRPr="00D14E59"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44"/>
                        <w:szCs w:val="60"/>
                      </w:rPr>
                      <w:t>Avaliação dos Indicadores de Desempenho</w:t>
                    </w:r>
                  </w:p>
                  <w:p w:rsidR="00273411" w:rsidRPr="00D14E59" w:rsidRDefault="00273411" w:rsidP="00AC7A6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44"/>
                        <w:szCs w:val="60"/>
                      </w:rPr>
                    </w:pPr>
                  </w:p>
                  <w:p w:rsidR="00273411" w:rsidRPr="00D14E59" w:rsidRDefault="00273411" w:rsidP="00F64C5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36"/>
                        <w:szCs w:val="36"/>
                      </w:rPr>
                    </w:pPr>
                    <w:r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36"/>
                        <w:szCs w:val="36"/>
                      </w:rPr>
                      <w:t>Fev</w:t>
                    </w:r>
                    <w:r w:rsidRPr="00D14E59"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36"/>
                        <w:szCs w:val="36"/>
                      </w:rPr>
                      <w:t xml:space="preserve">/2004 a </w:t>
                    </w:r>
                    <w:r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36"/>
                        <w:szCs w:val="36"/>
                      </w:rPr>
                      <w:t>Dez</w:t>
                    </w:r>
                    <w:r w:rsidRPr="00D14E59"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36"/>
                        <w:szCs w:val="36"/>
                      </w:rPr>
                      <w:t>/201</w:t>
                    </w:r>
                    <w:r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D2" w:rsidRDefault="00C348D2" w:rsidP="00C348D2">
      <w:pPr>
        <w:pStyle w:val="Rodap"/>
        <w:tabs>
          <w:tab w:val="clear" w:pos="4419"/>
          <w:tab w:val="clear" w:pos="8838"/>
        </w:tabs>
        <w:spacing w:line="360" w:lineRule="auto"/>
        <w:jc w:val="center"/>
        <w:rPr>
          <w:b/>
          <w:szCs w:val="24"/>
        </w:rPr>
      </w:pPr>
      <w:r w:rsidRPr="00744CCF">
        <w:rPr>
          <w:b/>
          <w:szCs w:val="24"/>
        </w:rPr>
        <w:t>Recife</w:t>
      </w:r>
      <w:r w:rsidR="00F43F63">
        <w:rPr>
          <w:b/>
          <w:szCs w:val="24"/>
        </w:rPr>
        <w:t>,</w:t>
      </w:r>
    </w:p>
    <w:p w:rsidR="002303C9" w:rsidRPr="00744CCF" w:rsidRDefault="00F57680" w:rsidP="00C348D2">
      <w:pPr>
        <w:pStyle w:val="Rodap"/>
        <w:tabs>
          <w:tab w:val="clear" w:pos="4419"/>
          <w:tab w:val="clear" w:pos="8838"/>
        </w:tabs>
        <w:spacing w:line="360" w:lineRule="auto"/>
        <w:jc w:val="center"/>
        <w:rPr>
          <w:szCs w:val="24"/>
        </w:rPr>
      </w:pPr>
      <w:r>
        <w:rPr>
          <w:b/>
          <w:szCs w:val="24"/>
        </w:rPr>
        <w:t>Março</w:t>
      </w:r>
      <w:r w:rsidR="00F43F63">
        <w:rPr>
          <w:b/>
          <w:szCs w:val="24"/>
        </w:rPr>
        <w:t xml:space="preserve">, </w:t>
      </w:r>
      <w:r w:rsidR="00E13AC0" w:rsidRPr="00744CCF">
        <w:rPr>
          <w:b/>
          <w:szCs w:val="24"/>
        </w:rPr>
        <w:t>201</w:t>
      </w:r>
      <w:r w:rsidR="005C6C1F">
        <w:rPr>
          <w:b/>
          <w:szCs w:val="24"/>
        </w:rPr>
        <w:t>5</w:t>
      </w:r>
      <w:r w:rsidR="00AC7A6D" w:rsidRPr="00744CCF">
        <w:rPr>
          <w:szCs w:val="24"/>
        </w:rPr>
        <w:br w:type="page"/>
      </w:r>
    </w:p>
    <w:p w:rsidR="002303C9" w:rsidRPr="00744CCF" w:rsidRDefault="002303C9" w:rsidP="00D74C92">
      <w:pPr>
        <w:pStyle w:val="Ttulo"/>
        <w:numPr>
          <w:ilvl w:val="0"/>
          <w:numId w:val="7"/>
        </w:numPr>
        <w:jc w:val="both"/>
      </w:pPr>
      <w:r w:rsidRPr="00744CCF">
        <w:lastRenderedPageBreak/>
        <w:t>Introdução</w:t>
      </w:r>
    </w:p>
    <w:p w:rsidR="002303C9" w:rsidRPr="00744CCF" w:rsidRDefault="002303C9">
      <w:pPr>
        <w:rPr>
          <w:szCs w:val="24"/>
        </w:rPr>
      </w:pPr>
    </w:p>
    <w:p w:rsidR="002303C9" w:rsidRPr="00744CCF" w:rsidRDefault="002303C9" w:rsidP="00FD6495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O presente instrumento tem por finalidade realizar uma análise d</w:t>
      </w:r>
      <w:r w:rsidR="00A048BF" w:rsidRPr="00744CCF">
        <w:rPr>
          <w:szCs w:val="24"/>
        </w:rPr>
        <w:t>e desempenho da CEASA</w:t>
      </w:r>
      <w:r w:rsidR="00F560D4" w:rsidRPr="00744CCF">
        <w:rPr>
          <w:szCs w:val="24"/>
        </w:rPr>
        <w:t>-PE/O.S,</w:t>
      </w:r>
      <w:r w:rsidR="00A048BF" w:rsidRPr="00744CCF">
        <w:rPr>
          <w:szCs w:val="24"/>
        </w:rPr>
        <w:t xml:space="preserve"> no período </w:t>
      </w:r>
      <w:r w:rsidR="00207426" w:rsidRPr="00744CCF">
        <w:rPr>
          <w:szCs w:val="24"/>
        </w:rPr>
        <w:t xml:space="preserve">fevereiro de </w:t>
      </w:r>
      <w:smartTag w:uri="urn:schemas-microsoft-com:office:smarttags" w:element="metricconverter">
        <w:smartTagPr>
          <w:attr w:name="ProductID" w:val="2004 a"/>
        </w:smartTagPr>
        <w:r w:rsidR="00A048BF" w:rsidRPr="00744CCF">
          <w:rPr>
            <w:szCs w:val="24"/>
          </w:rPr>
          <w:t>2004 a</w:t>
        </w:r>
      </w:smartTag>
      <w:r w:rsidR="00207426" w:rsidRPr="00744CCF">
        <w:rPr>
          <w:szCs w:val="24"/>
        </w:rPr>
        <w:t xml:space="preserve"> </w:t>
      </w:r>
      <w:r w:rsidR="005C6C1F">
        <w:rPr>
          <w:szCs w:val="24"/>
        </w:rPr>
        <w:t>dezembro</w:t>
      </w:r>
      <w:r w:rsidR="004C6973">
        <w:rPr>
          <w:szCs w:val="24"/>
        </w:rPr>
        <w:t xml:space="preserve"> </w:t>
      </w:r>
      <w:r w:rsidR="00207426" w:rsidRPr="00744CCF">
        <w:rPr>
          <w:szCs w:val="24"/>
        </w:rPr>
        <w:t xml:space="preserve">de </w:t>
      </w:r>
      <w:r w:rsidR="00D224D4" w:rsidRPr="00744CCF">
        <w:rPr>
          <w:szCs w:val="24"/>
        </w:rPr>
        <w:t>201</w:t>
      </w:r>
      <w:r w:rsidR="005C6C1F">
        <w:rPr>
          <w:szCs w:val="24"/>
        </w:rPr>
        <w:t>4</w:t>
      </w:r>
      <w:r w:rsidRPr="00744CCF">
        <w:rPr>
          <w:szCs w:val="24"/>
        </w:rPr>
        <w:t xml:space="preserve">, a partir dos indicadores definidos no Plano </w:t>
      </w:r>
      <w:r w:rsidR="00F560D4" w:rsidRPr="00744CCF">
        <w:rPr>
          <w:szCs w:val="24"/>
        </w:rPr>
        <w:t xml:space="preserve">Estratégico </w:t>
      </w:r>
      <w:r w:rsidRPr="00744CCF">
        <w:rPr>
          <w:szCs w:val="24"/>
        </w:rPr>
        <w:t>de Ação 2003/2004 e co</w:t>
      </w:r>
      <w:r w:rsidR="003F1AF2" w:rsidRPr="00744CCF">
        <w:rPr>
          <w:szCs w:val="24"/>
        </w:rPr>
        <w:t>nsolidados no Plano de Ação 2008/2009</w:t>
      </w:r>
      <w:r w:rsidR="008722F8" w:rsidRPr="00744CCF">
        <w:rPr>
          <w:szCs w:val="24"/>
        </w:rPr>
        <w:t xml:space="preserve"> e reajustados no Plano de 2012</w:t>
      </w:r>
      <w:r w:rsidR="00B21F1A">
        <w:rPr>
          <w:szCs w:val="24"/>
        </w:rPr>
        <w:t>-2014</w:t>
      </w:r>
      <w:r w:rsidRPr="00744CCF">
        <w:rPr>
          <w:szCs w:val="24"/>
        </w:rPr>
        <w:t>. Também será contemplada a avaliação dos aspectos de gestão da nova estrutura com base nos demonstrativos de resultados da Organização</w:t>
      </w:r>
      <w:r w:rsidR="00B21F1A">
        <w:rPr>
          <w:szCs w:val="24"/>
        </w:rPr>
        <w:t xml:space="preserve"> e os comparativos de desempenho dos </w:t>
      </w:r>
      <w:r w:rsidR="007E39DC">
        <w:rPr>
          <w:szCs w:val="24"/>
        </w:rPr>
        <w:t>04 (quatro)</w:t>
      </w:r>
      <w:r w:rsidR="000708D8">
        <w:rPr>
          <w:szCs w:val="24"/>
        </w:rPr>
        <w:t xml:space="preserve"> </w:t>
      </w:r>
      <w:r w:rsidR="00B21F1A">
        <w:rPr>
          <w:szCs w:val="24"/>
        </w:rPr>
        <w:t>trimestres de 201</w:t>
      </w:r>
      <w:r w:rsidR="005C6C1F">
        <w:rPr>
          <w:szCs w:val="24"/>
        </w:rPr>
        <w:t>4</w:t>
      </w:r>
      <w:r w:rsidR="00B21F1A">
        <w:rPr>
          <w:szCs w:val="24"/>
        </w:rPr>
        <w:t xml:space="preserve"> e o consolidado do </w:t>
      </w:r>
      <w:r w:rsidR="000708D8">
        <w:rPr>
          <w:szCs w:val="24"/>
        </w:rPr>
        <w:t>ano de 201</w:t>
      </w:r>
      <w:r w:rsidR="005C6C1F">
        <w:rPr>
          <w:szCs w:val="24"/>
        </w:rPr>
        <w:t>4</w:t>
      </w:r>
      <w:r w:rsidR="00DB7212" w:rsidRPr="00744CCF">
        <w:rPr>
          <w:szCs w:val="24"/>
        </w:rPr>
        <w:t>.</w:t>
      </w:r>
    </w:p>
    <w:p w:rsidR="00FD6495" w:rsidRPr="00744CCF" w:rsidRDefault="00FD6495" w:rsidP="00FD6495">
      <w:pPr>
        <w:spacing w:line="360" w:lineRule="auto"/>
        <w:jc w:val="both"/>
        <w:rPr>
          <w:color w:val="FF0000"/>
          <w:szCs w:val="24"/>
        </w:rPr>
      </w:pPr>
    </w:p>
    <w:p w:rsidR="002303C9" w:rsidRPr="00744CCF" w:rsidRDefault="002303C9">
      <w:pPr>
        <w:pStyle w:val="NormalWeb"/>
        <w:spacing w:line="360" w:lineRule="auto"/>
        <w:jc w:val="both"/>
        <w:rPr>
          <w:rFonts w:ascii="Arial" w:hAnsi="Arial" w:cs="Arial"/>
          <w:color w:val="auto"/>
        </w:rPr>
      </w:pPr>
      <w:r w:rsidRPr="00744CCF">
        <w:rPr>
          <w:rFonts w:ascii="Arial" w:hAnsi="Arial" w:cs="Arial"/>
        </w:rPr>
        <w:t>Os</w:t>
      </w:r>
      <w:r w:rsidRPr="00744CCF">
        <w:rPr>
          <w:rFonts w:ascii="Arial" w:hAnsi="Arial" w:cs="Arial"/>
          <w:color w:val="auto"/>
        </w:rPr>
        <w:t xml:space="preserve"> indicadores adotados para aferir o desempenho da O.S. </w:t>
      </w:r>
      <w:r w:rsidR="003F1AF2" w:rsidRPr="00744CCF">
        <w:rPr>
          <w:rFonts w:ascii="Arial" w:hAnsi="Arial" w:cs="Arial"/>
          <w:color w:val="auto"/>
        </w:rPr>
        <w:t>contemplam</w:t>
      </w:r>
      <w:r w:rsidRPr="00744CCF">
        <w:rPr>
          <w:rFonts w:ascii="Arial" w:hAnsi="Arial" w:cs="Arial"/>
          <w:color w:val="auto"/>
        </w:rPr>
        <w:t xml:space="preserve"> fatores que refletem diretamente na sustentação da estrutura e retratando aspectos econômico-financeiros, ambiente de trabalho, qualidade na prestação de serviços e imagem perante a sociedade.</w:t>
      </w:r>
    </w:p>
    <w:p w:rsidR="002303C9" w:rsidRPr="00744CCF" w:rsidRDefault="002303C9">
      <w:pPr>
        <w:pStyle w:val="NormalWeb"/>
        <w:spacing w:line="360" w:lineRule="auto"/>
        <w:jc w:val="both"/>
        <w:rPr>
          <w:rFonts w:ascii="Arial" w:hAnsi="Arial" w:cs="Arial"/>
          <w:color w:val="auto"/>
        </w:rPr>
      </w:pPr>
    </w:p>
    <w:p w:rsidR="002303C9" w:rsidRPr="00744CCF" w:rsidRDefault="002303C9">
      <w:pPr>
        <w:pStyle w:val="NormalWeb"/>
        <w:spacing w:line="360" w:lineRule="auto"/>
        <w:jc w:val="both"/>
        <w:rPr>
          <w:rFonts w:ascii="Arial" w:hAnsi="Arial" w:cs="Arial"/>
          <w:color w:val="auto"/>
        </w:rPr>
      </w:pPr>
      <w:r w:rsidRPr="00744CCF">
        <w:rPr>
          <w:rFonts w:ascii="Arial" w:hAnsi="Arial" w:cs="Arial"/>
          <w:color w:val="auto"/>
        </w:rPr>
        <w:t>O monitoramento sistemático dos Indicadores é fundamental para que se possa avaliar o desempenho real da O.S., direcionando as medidas de gestão da organização.</w:t>
      </w:r>
    </w:p>
    <w:p w:rsidR="002303C9" w:rsidRPr="00744CCF" w:rsidRDefault="002303C9">
      <w:pPr>
        <w:pStyle w:val="NormalWeb"/>
        <w:spacing w:line="360" w:lineRule="auto"/>
        <w:jc w:val="both"/>
        <w:rPr>
          <w:rFonts w:ascii="Arial" w:hAnsi="Arial" w:cs="Arial"/>
          <w:color w:val="auto"/>
        </w:rPr>
      </w:pPr>
    </w:p>
    <w:p w:rsidR="002303C9" w:rsidRPr="00744CCF" w:rsidRDefault="002303C9">
      <w:pPr>
        <w:pStyle w:val="NormalWeb"/>
        <w:spacing w:line="360" w:lineRule="auto"/>
        <w:jc w:val="both"/>
        <w:rPr>
          <w:rFonts w:ascii="Arial" w:hAnsi="Arial" w:cs="Arial"/>
          <w:color w:val="auto"/>
        </w:rPr>
      </w:pPr>
      <w:r w:rsidRPr="00744CCF">
        <w:rPr>
          <w:rFonts w:ascii="Arial" w:hAnsi="Arial" w:cs="Arial"/>
          <w:color w:val="auto"/>
        </w:rPr>
        <w:t>A seguir, serão expostos os indicadores, sua composição e aplicabilidade para que se tenha uma visão ampla do contexto em que os resultados serão analisados.</w:t>
      </w:r>
    </w:p>
    <w:p w:rsidR="002303C9" w:rsidRPr="00744CCF" w:rsidRDefault="002303C9">
      <w:pPr>
        <w:pStyle w:val="Ttulo9"/>
        <w:spacing w:line="360" w:lineRule="auto"/>
        <w:ind w:left="360"/>
        <w:rPr>
          <w:sz w:val="24"/>
          <w:szCs w:val="24"/>
        </w:rPr>
      </w:pPr>
      <w:r w:rsidRPr="00744CCF">
        <w:rPr>
          <w:sz w:val="24"/>
          <w:szCs w:val="24"/>
        </w:rPr>
        <w:br w:type="page"/>
      </w:r>
    </w:p>
    <w:p w:rsidR="002303C9" w:rsidRPr="00744CCF" w:rsidRDefault="002303C9" w:rsidP="00D74C92">
      <w:pPr>
        <w:pStyle w:val="Ttulo"/>
        <w:numPr>
          <w:ilvl w:val="0"/>
          <w:numId w:val="7"/>
        </w:numPr>
        <w:jc w:val="both"/>
      </w:pPr>
      <w:r w:rsidRPr="00744CCF">
        <w:lastRenderedPageBreak/>
        <w:t>Os Indicadores</w:t>
      </w:r>
    </w:p>
    <w:p w:rsidR="002303C9" w:rsidRPr="00744CCF" w:rsidRDefault="002303C9">
      <w:pPr>
        <w:rPr>
          <w:szCs w:val="24"/>
        </w:rPr>
      </w:pPr>
    </w:p>
    <w:p w:rsidR="002C53D8" w:rsidRPr="00744CCF" w:rsidRDefault="002303C9" w:rsidP="002C53D8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Os 0</w:t>
      </w:r>
      <w:r w:rsidR="006B3E2B" w:rsidRPr="00744CCF">
        <w:rPr>
          <w:szCs w:val="24"/>
        </w:rPr>
        <w:t>8</w:t>
      </w:r>
      <w:r w:rsidRPr="00744CCF">
        <w:rPr>
          <w:szCs w:val="24"/>
        </w:rPr>
        <w:t xml:space="preserve"> indicadores de posição adotados para aferição de resultados são os seguintes:</w:t>
      </w:r>
    </w:p>
    <w:p w:rsidR="002C53D8" w:rsidRPr="00744CCF" w:rsidRDefault="00D14E59" w:rsidP="002C53D8">
      <w:pPr>
        <w:spacing w:line="360" w:lineRule="auto"/>
        <w:jc w:val="both"/>
        <w:rPr>
          <w:szCs w:val="24"/>
        </w:rPr>
      </w:pPr>
      <w:r w:rsidRPr="00744CCF">
        <w:rPr>
          <w:noProof/>
          <w:szCs w:val="24"/>
        </w:rPr>
        <w:drawing>
          <wp:inline distT="0" distB="0" distL="0" distR="0">
            <wp:extent cx="5942965" cy="5409565"/>
            <wp:effectExtent l="19050" t="19050" r="19685" b="19685"/>
            <wp:docPr id="278" name="Image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540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B2" w:rsidRPr="00744CCF" w:rsidRDefault="003F3AB2" w:rsidP="008D1D85">
      <w:pPr>
        <w:spacing w:line="360" w:lineRule="auto"/>
        <w:jc w:val="both"/>
        <w:rPr>
          <w:rFonts w:cs="Arial"/>
          <w:szCs w:val="24"/>
        </w:rPr>
      </w:pPr>
    </w:p>
    <w:p w:rsidR="00744CCF" w:rsidRDefault="008D1D85" w:rsidP="008D1D85">
      <w:pPr>
        <w:spacing w:line="360" w:lineRule="auto"/>
        <w:jc w:val="both"/>
        <w:rPr>
          <w:rFonts w:cs="Arial"/>
          <w:szCs w:val="24"/>
        </w:rPr>
      </w:pPr>
      <w:r w:rsidRPr="00744CCF">
        <w:rPr>
          <w:rFonts w:cs="Arial"/>
          <w:szCs w:val="24"/>
        </w:rPr>
        <w:t>Esses indicadores são acompanhados mensalmente, com fechamento consolidado semestralmente</w:t>
      </w:r>
      <w:r w:rsidR="00744CCF">
        <w:rPr>
          <w:rFonts w:cs="Arial"/>
          <w:szCs w:val="24"/>
        </w:rPr>
        <w:t xml:space="preserve"> até </w:t>
      </w:r>
      <w:r w:rsidR="00B21F1A">
        <w:rPr>
          <w:rFonts w:cs="Arial"/>
          <w:szCs w:val="24"/>
        </w:rPr>
        <w:t>o</w:t>
      </w:r>
      <w:r w:rsidR="00744CCF">
        <w:rPr>
          <w:rFonts w:cs="Arial"/>
          <w:szCs w:val="24"/>
        </w:rPr>
        <w:t xml:space="preserve"> ano de 2012</w:t>
      </w:r>
      <w:r w:rsidRPr="00744CCF">
        <w:rPr>
          <w:rFonts w:cs="Arial"/>
          <w:szCs w:val="24"/>
        </w:rPr>
        <w:t>.</w:t>
      </w:r>
      <w:r w:rsidR="00744CCF">
        <w:rPr>
          <w:rFonts w:cs="Arial"/>
          <w:szCs w:val="24"/>
        </w:rPr>
        <w:t xml:space="preserve"> A partir de 2013 o fechamento consolidado </w:t>
      </w:r>
      <w:r w:rsidR="000708D8">
        <w:rPr>
          <w:rFonts w:cs="Arial"/>
          <w:szCs w:val="24"/>
        </w:rPr>
        <w:t xml:space="preserve">vem ocorrendo </w:t>
      </w:r>
      <w:r w:rsidR="00744CCF">
        <w:rPr>
          <w:rFonts w:cs="Arial"/>
          <w:szCs w:val="24"/>
        </w:rPr>
        <w:t>trimestralmente.</w:t>
      </w:r>
    </w:p>
    <w:p w:rsidR="008D1D85" w:rsidRPr="00744CCF" w:rsidRDefault="008D1D85" w:rsidP="008D1D85">
      <w:pPr>
        <w:spacing w:line="360" w:lineRule="auto"/>
        <w:jc w:val="both"/>
        <w:rPr>
          <w:rFonts w:cs="Arial"/>
          <w:szCs w:val="24"/>
        </w:rPr>
      </w:pPr>
      <w:r w:rsidRPr="00744CCF">
        <w:rPr>
          <w:rFonts w:cs="Arial"/>
          <w:szCs w:val="24"/>
        </w:rPr>
        <w:t xml:space="preserve"> </w:t>
      </w:r>
    </w:p>
    <w:p w:rsidR="008D1D85" w:rsidRPr="00744CCF" w:rsidRDefault="008D1D85" w:rsidP="002C53D8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No Planejamento Estratégico 2012/2014 foi recomendada a substituição dos indicadores IET e ICVC por um único indicador que retrate melhor a relação entre a Receita gerada através da comercialização nos espaços disponibilizados para tal. </w:t>
      </w:r>
    </w:p>
    <w:p w:rsidR="002C53D8" w:rsidRPr="00744CCF" w:rsidRDefault="008D1D85" w:rsidP="002C53D8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lastRenderedPageBreak/>
        <w:t xml:space="preserve">Assim, foi criado o </w:t>
      </w:r>
      <w:r w:rsidR="003F3AB2" w:rsidRPr="00744CCF">
        <w:rPr>
          <w:b/>
          <w:szCs w:val="24"/>
        </w:rPr>
        <w:t>IVO – Í</w:t>
      </w:r>
      <w:r w:rsidRPr="00744CCF">
        <w:rPr>
          <w:b/>
          <w:szCs w:val="24"/>
        </w:rPr>
        <w:t>ndice de Volume por Ocupação</w:t>
      </w:r>
      <w:r w:rsidRPr="00744CCF">
        <w:rPr>
          <w:szCs w:val="24"/>
        </w:rPr>
        <w:t>, calculado dividindo o volume comercializado na CEASA em toneladas pela área total ocupada em m</w:t>
      </w:r>
      <w:r w:rsidRPr="00744CCF">
        <w:rPr>
          <w:szCs w:val="24"/>
          <w:vertAlign w:val="superscript"/>
        </w:rPr>
        <w:t>2</w:t>
      </w:r>
      <w:r w:rsidRPr="00744CCF">
        <w:rPr>
          <w:szCs w:val="24"/>
        </w:rPr>
        <w:t>.</w:t>
      </w:r>
    </w:p>
    <w:p w:rsidR="002303C9" w:rsidRPr="00744CCF" w:rsidRDefault="002303C9">
      <w:pPr>
        <w:pStyle w:val="Ttulo9"/>
        <w:spacing w:line="360" w:lineRule="auto"/>
        <w:jc w:val="both"/>
        <w:rPr>
          <w:sz w:val="24"/>
          <w:szCs w:val="24"/>
          <w:u w:val="none"/>
        </w:rPr>
      </w:pPr>
    </w:p>
    <w:p w:rsidR="002303C9" w:rsidRPr="00744CCF" w:rsidRDefault="002303C9">
      <w:pPr>
        <w:pStyle w:val="Ttulo9"/>
        <w:spacing w:line="360" w:lineRule="auto"/>
        <w:jc w:val="both"/>
        <w:rPr>
          <w:sz w:val="24"/>
          <w:szCs w:val="24"/>
          <w:u w:val="none"/>
        </w:rPr>
      </w:pPr>
      <w:r w:rsidRPr="00744CCF">
        <w:rPr>
          <w:sz w:val="24"/>
          <w:szCs w:val="24"/>
          <w:u w:val="none"/>
        </w:rPr>
        <w:t xml:space="preserve">Além deles, outros 03 indicadores de tendência </w:t>
      </w:r>
      <w:r w:rsidRPr="00744CCF">
        <w:rPr>
          <w:i/>
          <w:iCs/>
          <w:sz w:val="24"/>
          <w:szCs w:val="24"/>
          <w:u w:val="none"/>
        </w:rPr>
        <w:t>(leading indicators</w:t>
      </w:r>
      <w:r w:rsidRPr="00744CCF">
        <w:rPr>
          <w:sz w:val="24"/>
          <w:szCs w:val="24"/>
          <w:u w:val="none"/>
        </w:rPr>
        <w:t>) foram definidos como forma de avaliação, os quais estão expressos a seguir:</w:t>
      </w:r>
    </w:p>
    <w:p w:rsidR="002303C9" w:rsidRPr="00744CCF" w:rsidRDefault="002303C9">
      <w:pPr>
        <w:pStyle w:val="Ttulo9"/>
        <w:spacing w:line="360" w:lineRule="auto"/>
        <w:jc w:val="both"/>
        <w:rPr>
          <w:sz w:val="24"/>
          <w:szCs w:val="24"/>
          <w:u w:val="none"/>
        </w:rPr>
      </w:pPr>
    </w:p>
    <w:tbl>
      <w:tblPr>
        <w:tblW w:w="9573" w:type="dxa"/>
        <w:jc w:val="center"/>
        <w:tblCellMar>
          <w:left w:w="70" w:type="dxa"/>
          <w:right w:w="70" w:type="dxa"/>
        </w:tblCellMar>
        <w:tblLook w:val="04A0"/>
      </w:tblPr>
      <w:tblGrid>
        <w:gridCol w:w="1954"/>
        <w:gridCol w:w="874"/>
        <w:gridCol w:w="3101"/>
        <w:gridCol w:w="1674"/>
        <w:gridCol w:w="2047"/>
      </w:tblGrid>
      <w:tr w:rsidR="00EE0BBB" w:rsidRPr="00744CCF" w:rsidTr="00EE0BBB">
        <w:trPr>
          <w:trHeight w:val="705"/>
          <w:jc w:val="center"/>
        </w:trPr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INDICADOR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SIGLA</w:t>
            </w:r>
          </w:p>
        </w:tc>
        <w:tc>
          <w:tcPr>
            <w:tcW w:w="2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DESCRIÇÃO/FINALIDADE</w:t>
            </w:r>
          </w:p>
        </w:tc>
        <w:tc>
          <w:tcPr>
            <w:tcW w:w="2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FORMA DE CÁLCULO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PERIODICIDADE DE APURAÇÃO</w:t>
            </w:r>
          </w:p>
        </w:tc>
      </w:tr>
      <w:tr w:rsidR="00EE0BBB" w:rsidRPr="00744CCF" w:rsidTr="00EE0BBB">
        <w:trPr>
          <w:trHeight w:val="1257"/>
          <w:jc w:val="center"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INSATISFAÇÃO DO CLIENTE EXTERNO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IICE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AVALIAR O GRAU DE INSATISFAÇÃO DO PÚBLICO BENEFICIADO PELAS AÇÕES DA OS EM RELAÇÃO AOS ASPECTOS OPER</w:t>
            </w:r>
            <w:r w:rsidR="00746504" w:rsidRPr="00744CCF">
              <w:rPr>
                <w:rFonts w:cs="Arial"/>
                <w:szCs w:val="24"/>
              </w:rPr>
              <w:t>ACIONAIS, ESTRUTURAIS E DE GESTÃ</w:t>
            </w:r>
            <w:r w:rsidRPr="00744CCF">
              <w:rPr>
                <w:rFonts w:cs="Arial"/>
                <w:szCs w:val="24"/>
              </w:rPr>
              <w:t>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PONTUAÇÃO ORIUNDA DA PESQUISA DE SATISFAÇÃO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ANUAL</w:t>
            </w:r>
          </w:p>
        </w:tc>
      </w:tr>
      <w:tr w:rsidR="00EE0BBB" w:rsidRPr="00744CCF" w:rsidTr="00EE0BBB">
        <w:trPr>
          <w:trHeight w:val="1269"/>
          <w:jc w:val="center"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SATISFAÇÃO DO CLIENTE INTERNO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ISCI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AVALIAR A SATISFAÇÃO DOS FUNCIONÁRIOS E TERCEIRIZADOS EM RELAÇÃO A ASPECTOS OPERACIONAIS, ESTRUTURAIS E DE GESTÃO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PONTUAÇÃO ORIUNDA DA PESQUISA DE SATISFAÇÃO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ANUAL</w:t>
            </w:r>
          </w:p>
        </w:tc>
      </w:tr>
      <w:tr w:rsidR="00EE0BBB" w:rsidRPr="00744CCF" w:rsidTr="00EE0BBB">
        <w:trPr>
          <w:trHeight w:val="988"/>
          <w:jc w:val="center"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IMAGEM DA ORGANIZAÇÃO PERANTE A SOCIEDADE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IIOS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MONITORAR A ACEITAÇÃO E IMAGEM DA ORGANIZAÇÃO PELA SOCIEDADE LOCAL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DIVIDIR O TOTAL DE NOTÍCIAS FAVORÁVEIS NA MÍDIA IMPRESSA PELO TOTAL DE NOTÍCIAS NA MÍDIA IMPRESSA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ANUAL</w:t>
            </w:r>
          </w:p>
        </w:tc>
      </w:tr>
    </w:tbl>
    <w:p w:rsidR="00564374" w:rsidRPr="00744CCF" w:rsidRDefault="00564374">
      <w:pPr>
        <w:pStyle w:val="Ttulo9"/>
        <w:spacing w:line="360" w:lineRule="auto"/>
        <w:jc w:val="both"/>
        <w:rPr>
          <w:sz w:val="24"/>
          <w:szCs w:val="24"/>
          <w:u w:val="none"/>
        </w:rPr>
      </w:pPr>
    </w:p>
    <w:p w:rsidR="002303C9" w:rsidRPr="00744CCF" w:rsidRDefault="007E39DC">
      <w:pPr>
        <w:pStyle w:val="Ttulo9"/>
        <w:spacing w:line="360" w:lineRule="auto"/>
        <w:jc w:val="both"/>
        <w:rPr>
          <w:sz w:val="24"/>
          <w:szCs w:val="24"/>
          <w:u w:val="none"/>
        </w:rPr>
      </w:pPr>
      <w:r w:rsidRPr="007E39DC">
        <w:rPr>
          <w:sz w:val="24"/>
          <w:szCs w:val="24"/>
          <w:u w:val="none"/>
        </w:rPr>
        <w:t>A verificação desses indicadores tem o objetivo de monitorar a percepção externa a respeito das ações tomadas pela CEASA-PE/ O.S.</w:t>
      </w:r>
    </w:p>
    <w:p w:rsidR="002303C9" w:rsidRPr="00744CCF" w:rsidRDefault="002303C9">
      <w:pPr>
        <w:pStyle w:val="Ttulo9"/>
        <w:spacing w:line="360" w:lineRule="auto"/>
        <w:jc w:val="both"/>
        <w:rPr>
          <w:sz w:val="24"/>
          <w:szCs w:val="24"/>
          <w:u w:val="none"/>
        </w:rPr>
      </w:pPr>
      <w:r w:rsidRPr="00744CCF">
        <w:rPr>
          <w:sz w:val="24"/>
          <w:szCs w:val="24"/>
          <w:u w:val="none"/>
        </w:rPr>
        <w:br w:type="page"/>
      </w:r>
    </w:p>
    <w:p w:rsidR="002303C9" w:rsidRPr="00744CCF" w:rsidRDefault="002303C9" w:rsidP="00D74C92">
      <w:pPr>
        <w:pStyle w:val="Ttulo"/>
        <w:numPr>
          <w:ilvl w:val="0"/>
          <w:numId w:val="7"/>
        </w:numPr>
        <w:jc w:val="both"/>
      </w:pPr>
      <w:r w:rsidRPr="00744CCF">
        <w:lastRenderedPageBreak/>
        <w:t>Considerações sobre a Análise dos Indicadores</w:t>
      </w:r>
    </w:p>
    <w:p w:rsidR="002303C9" w:rsidRPr="00744CCF" w:rsidRDefault="002303C9">
      <w:pPr>
        <w:rPr>
          <w:szCs w:val="24"/>
        </w:rPr>
      </w:pPr>
    </w:p>
    <w:p w:rsidR="002303C9" w:rsidRPr="00744CCF" w:rsidRDefault="000708D8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Podemos ressaltar </w:t>
      </w:r>
      <w:r w:rsidR="002303C9" w:rsidRPr="00744CCF">
        <w:rPr>
          <w:szCs w:val="24"/>
        </w:rPr>
        <w:t>que os resultados analisados a seguir devem expressar</w:t>
      </w:r>
      <w:r w:rsidR="00564374" w:rsidRPr="00744CCF">
        <w:rPr>
          <w:szCs w:val="24"/>
        </w:rPr>
        <w:t xml:space="preserve"> </w:t>
      </w:r>
      <w:r w:rsidR="00066852" w:rsidRPr="00744CCF">
        <w:rPr>
          <w:szCs w:val="24"/>
        </w:rPr>
        <w:t xml:space="preserve">o efeito das ações </w:t>
      </w:r>
      <w:r w:rsidR="002303C9" w:rsidRPr="00744CCF">
        <w:rPr>
          <w:szCs w:val="24"/>
        </w:rPr>
        <w:t xml:space="preserve">desenvolvidas na O.S. a partir do que ficou definido no </w:t>
      </w:r>
      <w:r w:rsidR="002303C9" w:rsidRPr="00744CCF">
        <w:rPr>
          <w:b/>
          <w:bCs/>
          <w:szCs w:val="24"/>
        </w:rPr>
        <w:t>Plano Estratégico</w:t>
      </w:r>
      <w:r w:rsidR="008D1D85" w:rsidRPr="00744CCF">
        <w:rPr>
          <w:b/>
          <w:bCs/>
          <w:szCs w:val="24"/>
        </w:rPr>
        <w:t xml:space="preserve"> 2012/2014</w:t>
      </w:r>
      <w:r w:rsidR="002303C9" w:rsidRPr="00744CCF">
        <w:rPr>
          <w:szCs w:val="24"/>
        </w:rPr>
        <w:t>, onde cada atividade fundamenta-se em objetivos claramente definidos a partir das Forças Direcionadoras da nova organização (Aspectos Indutores da Gestão Estratégica).</w:t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Os vetores que impulsionam o desempenho dos indicadores foram definidos com base nas linhas mestras de ação, a saber:</w:t>
      </w:r>
    </w:p>
    <w:p w:rsidR="002303C9" w:rsidRPr="00744CCF" w:rsidRDefault="002303C9" w:rsidP="00D74C92">
      <w:pPr>
        <w:numPr>
          <w:ilvl w:val="0"/>
          <w:numId w:val="5"/>
        </w:numPr>
        <w:spacing w:before="120" w:after="120"/>
        <w:rPr>
          <w:szCs w:val="24"/>
        </w:rPr>
      </w:pPr>
      <w:r w:rsidRPr="00744CCF">
        <w:rPr>
          <w:szCs w:val="24"/>
        </w:rPr>
        <w:t>Concepção Institucional</w:t>
      </w:r>
    </w:p>
    <w:p w:rsidR="002303C9" w:rsidRPr="00744CCF" w:rsidRDefault="002303C9" w:rsidP="00D74C92">
      <w:pPr>
        <w:numPr>
          <w:ilvl w:val="0"/>
          <w:numId w:val="5"/>
        </w:numPr>
        <w:spacing w:before="120" w:after="120"/>
        <w:rPr>
          <w:szCs w:val="24"/>
        </w:rPr>
      </w:pPr>
      <w:r w:rsidRPr="00744CCF">
        <w:rPr>
          <w:szCs w:val="24"/>
        </w:rPr>
        <w:t xml:space="preserve">Gestão </w:t>
      </w:r>
      <w:r w:rsidR="002521D7" w:rsidRPr="00744CCF">
        <w:rPr>
          <w:szCs w:val="24"/>
        </w:rPr>
        <w:t>Autossustentável</w:t>
      </w:r>
    </w:p>
    <w:p w:rsidR="002303C9" w:rsidRPr="00744CCF" w:rsidRDefault="002303C9" w:rsidP="00D74C92">
      <w:pPr>
        <w:numPr>
          <w:ilvl w:val="0"/>
          <w:numId w:val="5"/>
        </w:numPr>
        <w:spacing w:before="120" w:after="120"/>
        <w:rPr>
          <w:szCs w:val="24"/>
        </w:rPr>
      </w:pPr>
      <w:r w:rsidRPr="00744CCF">
        <w:rPr>
          <w:szCs w:val="24"/>
        </w:rPr>
        <w:t>Gestão Empreendedora</w:t>
      </w:r>
    </w:p>
    <w:p w:rsidR="002303C9" w:rsidRPr="00744CCF" w:rsidRDefault="002303C9" w:rsidP="00D74C92">
      <w:pPr>
        <w:numPr>
          <w:ilvl w:val="0"/>
          <w:numId w:val="5"/>
        </w:numPr>
        <w:spacing w:before="120" w:after="120"/>
        <w:rPr>
          <w:szCs w:val="24"/>
        </w:rPr>
      </w:pPr>
      <w:r w:rsidRPr="00744CCF">
        <w:rPr>
          <w:szCs w:val="24"/>
        </w:rPr>
        <w:t>Fomento à Base Social.</w:t>
      </w:r>
    </w:p>
    <w:p w:rsidR="001C78C5" w:rsidRPr="00744CCF" w:rsidRDefault="001C78C5" w:rsidP="001C78C5">
      <w:pPr>
        <w:spacing w:before="120" w:after="120"/>
        <w:ind w:left="720"/>
        <w:rPr>
          <w:szCs w:val="24"/>
        </w:rPr>
      </w:pPr>
    </w:p>
    <w:p w:rsidR="002303C9" w:rsidRPr="00744CCF" w:rsidRDefault="002303C9">
      <w:pPr>
        <w:spacing w:line="440" w:lineRule="exact"/>
        <w:jc w:val="both"/>
        <w:rPr>
          <w:szCs w:val="24"/>
        </w:rPr>
      </w:pPr>
      <w:r w:rsidRPr="00744CCF">
        <w:rPr>
          <w:szCs w:val="24"/>
        </w:rPr>
        <w:t xml:space="preserve">A metodologia de análise fundamenta-se, portanto, na evolução dos resultados a partir do início da operação da nova estrutura. Considera-se o mês de fevereiro/2004 como marco inicial e também como um mês de transição, apesar de </w:t>
      </w:r>
      <w:r w:rsidR="009B16D4" w:rsidRPr="00744CCF">
        <w:rPr>
          <w:szCs w:val="24"/>
        </w:rPr>
        <w:t>incluí-lo</w:t>
      </w:r>
      <w:r w:rsidRPr="00744CCF">
        <w:rPr>
          <w:szCs w:val="24"/>
        </w:rPr>
        <w:t xml:space="preserve"> na apuração dos indicadores.</w:t>
      </w:r>
    </w:p>
    <w:p w:rsidR="002303C9" w:rsidRPr="00744CCF" w:rsidRDefault="002303C9">
      <w:pPr>
        <w:spacing w:line="440" w:lineRule="exact"/>
        <w:jc w:val="both"/>
        <w:rPr>
          <w:szCs w:val="24"/>
        </w:rPr>
      </w:pPr>
    </w:p>
    <w:p w:rsidR="002303C9" w:rsidRPr="00744CCF" w:rsidRDefault="002303C9">
      <w:pPr>
        <w:spacing w:line="440" w:lineRule="exact"/>
        <w:jc w:val="both"/>
        <w:rPr>
          <w:szCs w:val="24"/>
        </w:rPr>
      </w:pPr>
      <w:r w:rsidRPr="00744CCF">
        <w:rPr>
          <w:szCs w:val="24"/>
        </w:rPr>
        <w:t>Dessa forma, será realizada uma aval</w:t>
      </w:r>
      <w:r w:rsidR="00564374" w:rsidRPr="00744CCF">
        <w:rPr>
          <w:szCs w:val="24"/>
        </w:rPr>
        <w:t xml:space="preserve">iação global, considerando </w:t>
      </w:r>
      <w:r w:rsidR="005B5997" w:rsidRPr="00744CCF">
        <w:rPr>
          <w:szCs w:val="24"/>
        </w:rPr>
        <w:t>o período</w:t>
      </w:r>
      <w:r w:rsidRPr="00744CCF">
        <w:rPr>
          <w:szCs w:val="24"/>
        </w:rPr>
        <w:t xml:space="preserve"> de funcionamento da nova estrutura como Organização Social, ou seja</w:t>
      </w:r>
      <w:r w:rsidR="009B16D4" w:rsidRPr="00744CCF">
        <w:rPr>
          <w:szCs w:val="24"/>
        </w:rPr>
        <w:t>,</w:t>
      </w:r>
      <w:r w:rsidRPr="00744CCF">
        <w:rPr>
          <w:szCs w:val="24"/>
        </w:rPr>
        <w:t xml:space="preserve"> a partir do mês de fevereiro de 2004 até </w:t>
      </w:r>
      <w:r w:rsidR="007E39DC">
        <w:rPr>
          <w:szCs w:val="24"/>
        </w:rPr>
        <w:t xml:space="preserve">dezembro </w:t>
      </w:r>
      <w:r w:rsidR="007B3CC7">
        <w:rPr>
          <w:szCs w:val="24"/>
        </w:rPr>
        <w:t>de 201</w:t>
      </w:r>
      <w:r w:rsidR="002521D7">
        <w:rPr>
          <w:szCs w:val="24"/>
        </w:rPr>
        <w:t>4.</w:t>
      </w:r>
    </w:p>
    <w:p w:rsidR="002303C9" w:rsidRPr="00744CCF" w:rsidRDefault="002303C9">
      <w:pPr>
        <w:spacing w:line="440" w:lineRule="exact"/>
        <w:jc w:val="both"/>
        <w:rPr>
          <w:szCs w:val="24"/>
        </w:rPr>
      </w:pPr>
    </w:p>
    <w:p w:rsidR="002303C9" w:rsidRPr="00744CCF" w:rsidRDefault="002303C9">
      <w:pPr>
        <w:spacing w:line="440" w:lineRule="exact"/>
        <w:jc w:val="both"/>
        <w:rPr>
          <w:szCs w:val="24"/>
        </w:rPr>
      </w:pPr>
      <w:r w:rsidRPr="00744CCF">
        <w:rPr>
          <w:szCs w:val="24"/>
        </w:rPr>
        <w:t>Também serão avaliados os aspectos particulares de cada indicador, considerando sua evolução ao longo desse período.</w:t>
      </w:r>
    </w:p>
    <w:p w:rsidR="002303C9" w:rsidRPr="00744CCF" w:rsidRDefault="002303C9">
      <w:pPr>
        <w:spacing w:line="440" w:lineRule="exact"/>
        <w:jc w:val="both"/>
        <w:rPr>
          <w:szCs w:val="24"/>
        </w:rPr>
      </w:pPr>
      <w:r w:rsidRPr="00744CCF">
        <w:rPr>
          <w:szCs w:val="24"/>
        </w:rPr>
        <w:br w:type="page"/>
      </w:r>
    </w:p>
    <w:p w:rsidR="002303C9" w:rsidRPr="00744CCF" w:rsidRDefault="002303C9">
      <w:pPr>
        <w:spacing w:line="440" w:lineRule="exact"/>
        <w:jc w:val="both"/>
        <w:rPr>
          <w:szCs w:val="24"/>
        </w:rPr>
      </w:pPr>
      <w:r w:rsidRPr="00744CCF">
        <w:rPr>
          <w:szCs w:val="24"/>
        </w:rPr>
        <w:lastRenderedPageBreak/>
        <w:t xml:space="preserve">Os “Valores de Referência” mencionados na análise foram estabelecidos no Contrato de Gestão e ajustados conforme </w:t>
      </w:r>
      <w:r w:rsidR="007C49AF" w:rsidRPr="00744CCF">
        <w:rPr>
          <w:szCs w:val="24"/>
        </w:rPr>
        <w:t>o Plano Estratégico de Ação 201</w:t>
      </w:r>
      <w:r w:rsidR="00CD12A6" w:rsidRPr="00744CCF">
        <w:rPr>
          <w:szCs w:val="24"/>
        </w:rPr>
        <w:t>2</w:t>
      </w:r>
      <w:r w:rsidR="00C17E39" w:rsidRPr="00744CCF">
        <w:rPr>
          <w:szCs w:val="24"/>
        </w:rPr>
        <w:t>-</w:t>
      </w:r>
      <w:r w:rsidR="007C49AF" w:rsidRPr="00744CCF">
        <w:rPr>
          <w:szCs w:val="24"/>
        </w:rPr>
        <w:t>20</w:t>
      </w:r>
      <w:r w:rsidR="00CD12A6" w:rsidRPr="00744CCF">
        <w:rPr>
          <w:szCs w:val="24"/>
        </w:rPr>
        <w:t>14</w:t>
      </w:r>
      <w:r w:rsidRPr="00744CCF">
        <w:rPr>
          <w:szCs w:val="24"/>
        </w:rPr>
        <w:t xml:space="preserve">, a fim de estimularem cada vez mais a continuidade das melhorias propostas. </w:t>
      </w:r>
    </w:p>
    <w:p w:rsidR="002303C9" w:rsidRPr="00744CCF" w:rsidRDefault="002303C9">
      <w:pPr>
        <w:spacing w:line="440" w:lineRule="exact"/>
        <w:jc w:val="both"/>
        <w:rPr>
          <w:szCs w:val="24"/>
        </w:rPr>
      </w:pPr>
    </w:p>
    <w:p w:rsidR="002303C9" w:rsidRPr="00744CCF" w:rsidRDefault="002303C9">
      <w:pPr>
        <w:spacing w:line="440" w:lineRule="exact"/>
        <w:jc w:val="both"/>
        <w:rPr>
          <w:szCs w:val="24"/>
        </w:rPr>
      </w:pPr>
      <w:r w:rsidRPr="00744CCF">
        <w:rPr>
          <w:szCs w:val="24"/>
        </w:rPr>
        <w:t xml:space="preserve">Para aferição desses indicadores, foram considerados os documentos oficiais que compõem o Sistema de Informações Gerenciais e Contábeis </w:t>
      </w:r>
      <w:r w:rsidR="003F1AF2" w:rsidRPr="00744CCF">
        <w:rPr>
          <w:szCs w:val="24"/>
        </w:rPr>
        <w:t>da CEASA</w:t>
      </w:r>
      <w:r w:rsidR="00F560D4" w:rsidRPr="00744CCF">
        <w:rPr>
          <w:szCs w:val="24"/>
        </w:rPr>
        <w:t>-PE/O.S</w:t>
      </w:r>
      <w:r w:rsidR="003F1AF2" w:rsidRPr="00744CCF">
        <w:rPr>
          <w:szCs w:val="24"/>
        </w:rPr>
        <w:t>, como Balancete Mensal,</w:t>
      </w:r>
      <w:r w:rsidRPr="00744CCF">
        <w:rPr>
          <w:szCs w:val="24"/>
        </w:rPr>
        <w:t xml:space="preserve"> Balanço Patrimonial, Levantamento de Ocupação de Área, Controle de Arrecadação das Tarifas e demais Relatórios Gerenciais.</w:t>
      </w:r>
    </w:p>
    <w:p w:rsidR="002303C9" w:rsidRPr="00744CCF" w:rsidRDefault="002303C9">
      <w:pPr>
        <w:spacing w:line="440" w:lineRule="exact"/>
        <w:jc w:val="both"/>
        <w:rPr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br w:type="page"/>
      </w:r>
    </w:p>
    <w:p w:rsidR="002303C9" w:rsidRPr="007B3CC7" w:rsidRDefault="002303C9" w:rsidP="00D74C92">
      <w:pPr>
        <w:pStyle w:val="Ttulo"/>
        <w:numPr>
          <w:ilvl w:val="0"/>
          <w:numId w:val="7"/>
        </w:numPr>
        <w:jc w:val="both"/>
      </w:pPr>
      <w:r w:rsidRPr="007B3CC7">
        <w:lastRenderedPageBreak/>
        <w:t>Análise dos Indicadores</w:t>
      </w:r>
    </w:p>
    <w:p w:rsidR="002303C9" w:rsidRPr="00744CCF" w:rsidRDefault="002303C9">
      <w:pPr>
        <w:rPr>
          <w:szCs w:val="24"/>
        </w:rPr>
      </w:pPr>
    </w:p>
    <w:p w:rsidR="00DF2BFB" w:rsidRPr="00744CCF" w:rsidRDefault="002303C9" w:rsidP="00DF2BFB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A seguir, são apresentados os resultados obtidos através do levantamento de dados realizado. Será </w:t>
      </w:r>
      <w:r w:rsidR="008A3BCB" w:rsidRPr="00744CCF">
        <w:rPr>
          <w:szCs w:val="24"/>
        </w:rPr>
        <w:t>procedida</w:t>
      </w:r>
      <w:r w:rsidRPr="00744CCF">
        <w:rPr>
          <w:szCs w:val="24"/>
        </w:rPr>
        <w:t xml:space="preserve"> uma comparação do desempenho desses indicadores </w:t>
      </w:r>
      <w:r w:rsidR="00D224D4" w:rsidRPr="00744CCF">
        <w:rPr>
          <w:szCs w:val="24"/>
        </w:rPr>
        <w:t xml:space="preserve">nos anos de </w:t>
      </w:r>
      <w:smartTag w:uri="urn:schemas-microsoft-com:office:smarttags" w:element="metricconverter">
        <w:smartTagPr>
          <w:attr w:name="ProductID" w:val="2004 a"/>
        </w:smartTagPr>
        <w:r w:rsidR="00D224D4" w:rsidRPr="00744CCF">
          <w:rPr>
            <w:szCs w:val="24"/>
          </w:rPr>
          <w:t>2004 a</w:t>
        </w:r>
      </w:smartTag>
      <w:r w:rsidR="00D224D4" w:rsidRPr="00744CCF">
        <w:rPr>
          <w:szCs w:val="24"/>
        </w:rPr>
        <w:t xml:space="preserve"> 201</w:t>
      </w:r>
      <w:r w:rsidR="002521D7">
        <w:rPr>
          <w:szCs w:val="24"/>
        </w:rPr>
        <w:t>4</w:t>
      </w:r>
      <w:r w:rsidRPr="00744CCF">
        <w:rPr>
          <w:szCs w:val="24"/>
        </w:rPr>
        <w:t>, bem como à média no período total de funcionamento da O.S. até o presente</w:t>
      </w:r>
      <w:r w:rsidR="001A745B" w:rsidRPr="00744CCF">
        <w:rPr>
          <w:szCs w:val="24"/>
        </w:rPr>
        <w:t>.</w:t>
      </w:r>
    </w:p>
    <w:p w:rsidR="00DE2901" w:rsidRPr="00744CCF" w:rsidRDefault="00DE2901" w:rsidP="00CB3881">
      <w:pPr>
        <w:spacing w:line="360" w:lineRule="auto"/>
        <w:rPr>
          <w:szCs w:val="24"/>
        </w:rPr>
      </w:pPr>
    </w:p>
    <w:p w:rsidR="008F3773" w:rsidRPr="00D0233A" w:rsidRDefault="002303C9" w:rsidP="00CB3881">
      <w:pPr>
        <w:spacing w:line="360" w:lineRule="auto"/>
        <w:rPr>
          <w:b/>
          <w:bCs/>
          <w:i/>
          <w:iCs/>
          <w:color w:val="000000"/>
          <w:szCs w:val="24"/>
        </w:rPr>
      </w:pPr>
      <w:r w:rsidRPr="00D0233A">
        <w:rPr>
          <w:b/>
          <w:bCs/>
          <w:i/>
          <w:iCs/>
          <w:color w:val="000000"/>
          <w:szCs w:val="24"/>
        </w:rPr>
        <w:t xml:space="preserve">Quadro 01: Indicadores de Posição – </w:t>
      </w:r>
      <w:smartTag w:uri="urn:schemas-microsoft-com:office:smarttags" w:element="metricconverter">
        <w:smartTagPr>
          <w:attr w:name="ProductID" w:val="2004 a"/>
        </w:smartTagPr>
        <w:r w:rsidR="00C91023" w:rsidRPr="00D0233A">
          <w:rPr>
            <w:b/>
            <w:bCs/>
            <w:i/>
            <w:iCs/>
            <w:color w:val="000000"/>
            <w:szCs w:val="24"/>
          </w:rPr>
          <w:t>2004 a</w:t>
        </w:r>
      </w:smartTag>
      <w:r w:rsidR="00D224D4" w:rsidRPr="00D0233A">
        <w:rPr>
          <w:b/>
          <w:bCs/>
          <w:i/>
          <w:iCs/>
          <w:color w:val="000000"/>
          <w:szCs w:val="24"/>
        </w:rPr>
        <w:t xml:space="preserve"> 201</w:t>
      </w:r>
      <w:r w:rsidR="002521D7">
        <w:rPr>
          <w:b/>
          <w:bCs/>
          <w:i/>
          <w:iCs/>
          <w:color w:val="000000"/>
          <w:szCs w:val="24"/>
        </w:rPr>
        <w:t>4</w:t>
      </w:r>
      <w:r w:rsidRPr="00D0233A">
        <w:rPr>
          <w:b/>
          <w:bCs/>
          <w:i/>
          <w:iCs/>
          <w:color w:val="000000"/>
          <w:szCs w:val="24"/>
        </w:rPr>
        <w:t>.</w:t>
      </w:r>
      <w:r w:rsidR="001C78C5" w:rsidRPr="00D0233A">
        <w:rPr>
          <w:b/>
          <w:bCs/>
          <w:i/>
          <w:iCs/>
          <w:color w:val="000000"/>
          <w:szCs w:val="24"/>
        </w:rPr>
        <w:t xml:space="preserve"> </w:t>
      </w:r>
    </w:p>
    <w:tbl>
      <w:tblPr>
        <w:tblW w:w="9640" w:type="dxa"/>
        <w:tblCellMar>
          <w:left w:w="70" w:type="dxa"/>
          <w:right w:w="70" w:type="dxa"/>
        </w:tblCellMar>
        <w:tblLook w:val="04A0"/>
      </w:tblPr>
      <w:tblGrid>
        <w:gridCol w:w="2674"/>
        <w:gridCol w:w="752"/>
        <w:gridCol w:w="1958"/>
        <w:gridCol w:w="1662"/>
        <w:gridCol w:w="1298"/>
        <w:gridCol w:w="1296"/>
      </w:tblGrid>
      <w:tr w:rsidR="002521D7" w:rsidRPr="002521D7" w:rsidTr="002521D7">
        <w:trPr>
          <w:trHeight w:val="855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INDICADOR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SIGLA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PERIODICIDADE DE APURAÇÃO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VALOR DE REFERÊNCIA (CONTRATUAL)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MÉDIA 2004/2013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MÉDIA ANO 2014</w:t>
            </w:r>
          </w:p>
        </w:tc>
      </w:tr>
      <w:tr w:rsidR="002521D7" w:rsidRPr="002521D7" w:rsidTr="002521D7">
        <w:trPr>
          <w:trHeight w:val="405"/>
        </w:trPr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PARTICIPAÇÃO DOS CUSTOS FIXOS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IPCF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MENSAL, COM FECHAMENTO ANUAL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MENOR QUE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21,8%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18,5%</w:t>
            </w:r>
          </w:p>
        </w:tc>
      </w:tr>
      <w:tr w:rsidR="002521D7" w:rsidRPr="002521D7" w:rsidTr="002521D7">
        <w:trPr>
          <w:trHeight w:val="559"/>
        </w:trPr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50%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</w:tr>
      <w:tr w:rsidR="002521D7" w:rsidRPr="002521D7" w:rsidTr="002521D7">
        <w:trPr>
          <w:trHeight w:val="405"/>
        </w:trPr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 xml:space="preserve">LIQUIDEZ CORRENTE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ILC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MENSAL, COM FECHAMENTO ANUAL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MAIOR QUE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1,21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1,19</w:t>
            </w:r>
          </w:p>
        </w:tc>
      </w:tr>
      <w:tr w:rsidR="002521D7" w:rsidRPr="002521D7" w:rsidTr="002521D7">
        <w:trPr>
          <w:trHeight w:val="559"/>
        </w:trPr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1,00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</w:tr>
      <w:tr w:rsidR="002521D7" w:rsidRPr="002521D7" w:rsidTr="002521D7">
        <w:trPr>
          <w:trHeight w:val="405"/>
        </w:trPr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VOLUME POR OCUPAÇÃO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IVO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MENSAL, COM FECHAMENTO ANUAL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MAIOR QUE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1,23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1,15</w:t>
            </w:r>
          </w:p>
        </w:tc>
      </w:tr>
      <w:tr w:rsidR="002521D7" w:rsidRPr="002521D7" w:rsidTr="002521D7">
        <w:trPr>
          <w:trHeight w:val="559"/>
        </w:trPr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1,00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</w:tr>
      <w:tr w:rsidR="002521D7" w:rsidRPr="002521D7" w:rsidTr="002521D7">
        <w:trPr>
          <w:trHeight w:val="465"/>
        </w:trPr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OCUPAÇÃO DA ÁREA DISPONÍVEL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IOAD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MENSAL, COM FECHAMENTO ANUAL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100%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99,2%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99,5%</w:t>
            </w:r>
          </w:p>
        </w:tc>
      </w:tr>
      <w:tr w:rsidR="002521D7" w:rsidRPr="002521D7" w:rsidTr="002521D7">
        <w:trPr>
          <w:trHeight w:val="360"/>
        </w:trPr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</w:tr>
      <w:tr w:rsidR="002521D7" w:rsidRPr="002521D7" w:rsidTr="002521D7">
        <w:trPr>
          <w:trHeight w:val="405"/>
        </w:trPr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 xml:space="preserve">RESULTADO LÍQUIDO APLICÁVEL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IRLA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MENSAL, COM FECHAMENTO ANUAL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MAIOR QUE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5,5%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7,06%</w:t>
            </w:r>
          </w:p>
        </w:tc>
      </w:tr>
      <w:tr w:rsidR="002521D7" w:rsidRPr="002521D7" w:rsidTr="002521D7">
        <w:trPr>
          <w:trHeight w:val="559"/>
        </w:trPr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5%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</w:tr>
      <w:tr w:rsidR="002521D7" w:rsidRPr="002521D7" w:rsidTr="002521D7">
        <w:trPr>
          <w:trHeight w:val="405"/>
        </w:trPr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 xml:space="preserve">PARTICIPAÇÃO DO CUSTO DE PESSOAL NO FATURAMENTO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IPCP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MENSAL, COM FECHAMENTO ANUAL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MENOR QUE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16,4%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15,2%</w:t>
            </w:r>
          </w:p>
        </w:tc>
      </w:tr>
      <w:tr w:rsidR="002521D7" w:rsidRPr="002521D7" w:rsidTr="002521D7">
        <w:trPr>
          <w:trHeight w:val="559"/>
        </w:trPr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45%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</w:tr>
      <w:tr w:rsidR="002521D7" w:rsidRPr="002521D7" w:rsidTr="002521D7">
        <w:trPr>
          <w:trHeight w:val="405"/>
        </w:trPr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 xml:space="preserve">EFICIÊNCIA NA COBRANÇA DAS TARIFAS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IET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MENSAL, COM FECHAMENTO ANUAL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MENOR QUE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1,0%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0,7%</w:t>
            </w:r>
          </w:p>
        </w:tc>
      </w:tr>
      <w:tr w:rsidR="002521D7" w:rsidRPr="002521D7" w:rsidTr="002521D7">
        <w:trPr>
          <w:trHeight w:val="559"/>
        </w:trPr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3%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</w:tr>
      <w:tr w:rsidR="002521D7" w:rsidRPr="002521D7" w:rsidTr="002521D7">
        <w:trPr>
          <w:trHeight w:val="405"/>
        </w:trPr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CUSTO TOTAL PELO VOLUME COMERCIALIZADO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ICVC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MENSAL, COM FECHAMENTO ANUAL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MENOR QUE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1,7%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0,9%</w:t>
            </w:r>
          </w:p>
        </w:tc>
      </w:tr>
      <w:tr w:rsidR="002521D7" w:rsidRPr="002521D7" w:rsidTr="002521D7">
        <w:trPr>
          <w:trHeight w:val="559"/>
        </w:trPr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521D7" w:rsidRPr="002521D7" w:rsidRDefault="002521D7" w:rsidP="002521D7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2521D7">
              <w:rPr>
                <w:rFonts w:cs="Arial"/>
                <w:b/>
                <w:bCs/>
                <w:sz w:val="20"/>
              </w:rPr>
              <w:t>1%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1D7" w:rsidRPr="002521D7" w:rsidRDefault="002521D7" w:rsidP="002521D7">
            <w:pPr>
              <w:rPr>
                <w:rFonts w:cs="Arial"/>
                <w:b/>
                <w:bCs/>
                <w:sz w:val="20"/>
              </w:rPr>
            </w:pPr>
          </w:p>
        </w:tc>
      </w:tr>
    </w:tbl>
    <w:p w:rsidR="00CB3881" w:rsidRPr="00744CCF" w:rsidRDefault="00CB3881" w:rsidP="00004798">
      <w:pPr>
        <w:spacing w:line="360" w:lineRule="auto"/>
        <w:jc w:val="center"/>
        <w:rPr>
          <w:szCs w:val="24"/>
        </w:rPr>
      </w:pPr>
    </w:p>
    <w:p w:rsidR="00D224D4" w:rsidRPr="00744CCF" w:rsidRDefault="00D224D4" w:rsidP="00D224D4">
      <w:pPr>
        <w:spacing w:line="480" w:lineRule="auto"/>
        <w:jc w:val="center"/>
        <w:rPr>
          <w:szCs w:val="24"/>
        </w:rPr>
      </w:pPr>
    </w:p>
    <w:p w:rsidR="007D59CD" w:rsidRDefault="007D59CD">
      <w:pPr>
        <w:rPr>
          <w:rFonts w:ascii="Calibri Light" w:hAnsi="Calibri Light"/>
          <w:b/>
          <w:bCs/>
          <w:kern w:val="28"/>
          <w:sz w:val="32"/>
          <w:szCs w:val="32"/>
        </w:rPr>
      </w:pPr>
      <w:r>
        <w:br w:type="page"/>
      </w: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lastRenderedPageBreak/>
        <w:t>IPCF</w:t>
      </w:r>
    </w:p>
    <w:p w:rsidR="002303C9" w:rsidRPr="00744CCF" w:rsidRDefault="002303C9">
      <w:pPr>
        <w:spacing w:line="420" w:lineRule="exact"/>
        <w:ind w:left="360"/>
        <w:jc w:val="both"/>
        <w:rPr>
          <w:szCs w:val="24"/>
        </w:rPr>
      </w:pPr>
    </w:p>
    <w:p w:rsidR="00B149C6" w:rsidRPr="00744CCF" w:rsidRDefault="002303C9" w:rsidP="00F43A15">
      <w:pPr>
        <w:spacing w:line="460" w:lineRule="exact"/>
        <w:jc w:val="both"/>
        <w:rPr>
          <w:szCs w:val="24"/>
        </w:rPr>
      </w:pPr>
      <w:r w:rsidRPr="00744CCF">
        <w:rPr>
          <w:b/>
          <w:bCs/>
          <w:szCs w:val="24"/>
        </w:rPr>
        <w:t>O IPCF (Indicador de Participação dos Custos Fixos na Receita Total)</w:t>
      </w:r>
      <w:r w:rsidR="00B149C6" w:rsidRPr="00744CCF">
        <w:rPr>
          <w:szCs w:val="24"/>
        </w:rPr>
        <w:t xml:space="preserve"> </w:t>
      </w:r>
    </w:p>
    <w:p w:rsidR="00A27CC2" w:rsidRDefault="00B303DC" w:rsidP="00F43A15">
      <w:pPr>
        <w:spacing w:line="460" w:lineRule="exact"/>
        <w:jc w:val="both"/>
        <w:rPr>
          <w:szCs w:val="24"/>
        </w:rPr>
      </w:pPr>
      <w:r w:rsidRPr="00744CCF">
        <w:rPr>
          <w:szCs w:val="24"/>
        </w:rPr>
        <w:t>O indicador m</w:t>
      </w:r>
      <w:r w:rsidR="002303C9" w:rsidRPr="00744CCF">
        <w:rPr>
          <w:szCs w:val="24"/>
        </w:rPr>
        <w:t xml:space="preserve">ede a representatividade dos custos fixos da estrutura em relação à Receita Total do período. São considerados </w:t>
      </w:r>
      <w:r w:rsidR="002303C9" w:rsidRPr="0096229F">
        <w:rPr>
          <w:b/>
          <w:szCs w:val="24"/>
        </w:rPr>
        <w:t>Custos Fixos aqueles que não sofrem variação proporcional em relação à variação de receita,</w:t>
      </w:r>
      <w:r w:rsidR="00775B4B" w:rsidRPr="00744CCF">
        <w:rPr>
          <w:szCs w:val="24"/>
        </w:rPr>
        <w:t xml:space="preserve"> tais como a folha de pagamento, materiais e encargos diversos </w:t>
      </w:r>
      <w:r w:rsidR="002303C9" w:rsidRPr="00744CCF">
        <w:rPr>
          <w:szCs w:val="24"/>
        </w:rPr>
        <w:t>da O.S.</w:t>
      </w:r>
      <w:r w:rsidR="003B310E" w:rsidRPr="00744CCF">
        <w:rPr>
          <w:szCs w:val="24"/>
        </w:rPr>
        <w:t xml:space="preserve"> </w:t>
      </w:r>
    </w:p>
    <w:p w:rsidR="00A27CC2" w:rsidRDefault="00A27CC2" w:rsidP="00F43A15">
      <w:pPr>
        <w:spacing w:line="460" w:lineRule="exact"/>
        <w:jc w:val="both"/>
        <w:rPr>
          <w:szCs w:val="24"/>
        </w:rPr>
      </w:pPr>
    </w:p>
    <w:p w:rsidR="00A27CC2" w:rsidRDefault="003B310E" w:rsidP="00F43A15">
      <w:pPr>
        <w:spacing w:line="460" w:lineRule="exact"/>
        <w:jc w:val="both"/>
        <w:rPr>
          <w:szCs w:val="24"/>
        </w:rPr>
      </w:pPr>
      <w:r w:rsidRPr="00744CCF">
        <w:rPr>
          <w:szCs w:val="24"/>
        </w:rPr>
        <w:t xml:space="preserve">O indicador vem apresentando queda nos últimos anos e se encontra bem abaixo do percentual máximo de </w:t>
      </w:r>
      <w:r w:rsidR="007D59CD" w:rsidRPr="00744CCF">
        <w:rPr>
          <w:szCs w:val="24"/>
        </w:rPr>
        <w:t>referência</w:t>
      </w:r>
      <w:r w:rsidRPr="00744CCF">
        <w:rPr>
          <w:szCs w:val="24"/>
        </w:rPr>
        <w:t xml:space="preserve"> que é de 45%. </w:t>
      </w:r>
      <w:r w:rsidR="0096229F">
        <w:rPr>
          <w:szCs w:val="24"/>
        </w:rPr>
        <w:t>A média histórica (até 201</w:t>
      </w:r>
      <w:r w:rsidR="005B3B2C">
        <w:rPr>
          <w:szCs w:val="24"/>
        </w:rPr>
        <w:t>3</w:t>
      </w:r>
      <w:r w:rsidR="0096229F">
        <w:rPr>
          <w:szCs w:val="24"/>
        </w:rPr>
        <w:t xml:space="preserve">) indica que </w:t>
      </w:r>
      <w:r w:rsidR="007F2492" w:rsidRPr="00744CCF">
        <w:rPr>
          <w:szCs w:val="24"/>
        </w:rPr>
        <w:t xml:space="preserve">a participação do custo fixo na receita </w:t>
      </w:r>
      <w:r w:rsidR="0096229F">
        <w:rPr>
          <w:szCs w:val="24"/>
        </w:rPr>
        <w:t xml:space="preserve">é </w:t>
      </w:r>
      <w:r w:rsidR="007F2492" w:rsidRPr="00744CCF">
        <w:rPr>
          <w:szCs w:val="24"/>
        </w:rPr>
        <w:t xml:space="preserve">de </w:t>
      </w:r>
      <w:r w:rsidR="0096229F">
        <w:rPr>
          <w:szCs w:val="24"/>
        </w:rPr>
        <w:t>2</w:t>
      </w:r>
      <w:r w:rsidR="008B027F">
        <w:rPr>
          <w:szCs w:val="24"/>
        </w:rPr>
        <w:t>1</w:t>
      </w:r>
      <w:r w:rsidR="0096229F">
        <w:rPr>
          <w:szCs w:val="24"/>
        </w:rPr>
        <w:t>,</w:t>
      </w:r>
      <w:r w:rsidR="008B027F">
        <w:rPr>
          <w:szCs w:val="24"/>
        </w:rPr>
        <w:t>8</w:t>
      </w:r>
      <w:r w:rsidR="007F2492" w:rsidRPr="00744CCF">
        <w:rPr>
          <w:szCs w:val="24"/>
        </w:rPr>
        <w:t>%</w:t>
      </w:r>
      <w:r w:rsidRPr="00744CCF">
        <w:rPr>
          <w:szCs w:val="24"/>
        </w:rPr>
        <w:t xml:space="preserve"> </w:t>
      </w:r>
      <w:r w:rsidR="007F2492" w:rsidRPr="00744CCF">
        <w:rPr>
          <w:szCs w:val="24"/>
        </w:rPr>
        <w:t xml:space="preserve">e </w:t>
      </w:r>
      <w:r w:rsidR="0096229F">
        <w:rPr>
          <w:szCs w:val="24"/>
        </w:rPr>
        <w:t>no ano de 201</w:t>
      </w:r>
      <w:r w:rsidR="008B027F">
        <w:rPr>
          <w:szCs w:val="24"/>
        </w:rPr>
        <w:t>4</w:t>
      </w:r>
      <w:r w:rsidR="00BB71C0">
        <w:rPr>
          <w:szCs w:val="24"/>
        </w:rPr>
        <w:t xml:space="preserve"> fechou com um </w:t>
      </w:r>
      <w:r w:rsidR="0096229F">
        <w:rPr>
          <w:szCs w:val="24"/>
        </w:rPr>
        <w:t xml:space="preserve">percentual é de </w:t>
      </w:r>
      <w:r w:rsidR="007F2492" w:rsidRPr="00744CCF">
        <w:rPr>
          <w:szCs w:val="24"/>
        </w:rPr>
        <w:t>1</w:t>
      </w:r>
      <w:r w:rsidR="008B027F">
        <w:rPr>
          <w:szCs w:val="24"/>
        </w:rPr>
        <w:t>8</w:t>
      </w:r>
      <w:r w:rsidR="007F2492" w:rsidRPr="00744CCF">
        <w:rPr>
          <w:szCs w:val="24"/>
        </w:rPr>
        <w:t>,</w:t>
      </w:r>
      <w:r w:rsidR="00BB71C0">
        <w:rPr>
          <w:szCs w:val="24"/>
        </w:rPr>
        <w:t>5</w:t>
      </w:r>
      <w:r w:rsidR="007F2492" w:rsidRPr="00744CCF">
        <w:rPr>
          <w:szCs w:val="24"/>
        </w:rPr>
        <w:t>%</w:t>
      </w:r>
      <w:r w:rsidR="006D0DD1">
        <w:rPr>
          <w:szCs w:val="24"/>
        </w:rPr>
        <w:t xml:space="preserve">. </w:t>
      </w:r>
    </w:p>
    <w:p w:rsidR="008B027F" w:rsidRDefault="008B027F" w:rsidP="00F43A15">
      <w:pPr>
        <w:spacing w:line="460" w:lineRule="exact"/>
        <w:jc w:val="both"/>
        <w:rPr>
          <w:szCs w:val="24"/>
        </w:rPr>
      </w:pPr>
    </w:p>
    <w:p w:rsidR="006E349B" w:rsidRPr="00744CCF" w:rsidRDefault="002303C9" w:rsidP="00F43A15">
      <w:pPr>
        <w:spacing w:line="460" w:lineRule="exact"/>
        <w:jc w:val="both"/>
        <w:rPr>
          <w:szCs w:val="24"/>
        </w:rPr>
      </w:pPr>
      <w:r w:rsidRPr="00744CCF">
        <w:rPr>
          <w:szCs w:val="24"/>
        </w:rPr>
        <w:t xml:space="preserve">No gráfico a seguir, é representada a evolução desse indicador ao longo </w:t>
      </w:r>
      <w:r w:rsidR="00B24DCD" w:rsidRPr="00744CCF">
        <w:rPr>
          <w:szCs w:val="24"/>
        </w:rPr>
        <w:t>do período avaliado</w:t>
      </w:r>
      <w:r w:rsidRPr="00744CCF">
        <w:rPr>
          <w:szCs w:val="24"/>
        </w:rPr>
        <w:t xml:space="preserve"> e seu comparativo:</w:t>
      </w:r>
    </w:p>
    <w:p w:rsidR="0023115D" w:rsidRPr="00744CCF" w:rsidRDefault="0023115D" w:rsidP="00F43A15">
      <w:pPr>
        <w:spacing w:line="460" w:lineRule="exact"/>
        <w:jc w:val="both"/>
        <w:rPr>
          <w:szCs w:val="24"/>
        </w:rPr>
      </w:pPr>
    </w:p>
    <w:p w:rsidR="00460B89" w:rsidRPr="00744CCF" w:rsidRDefault="00656087" w:rsidP="00504B46">
      <w:pPr>
        <w:spacing w:line="48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37033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lastRenderedPageBreak/>
        <w:t>ILC</w:t>
      </w:r>
    </w:p>
    <w:p w:rsidR="002303C9" w:rsidRPr="00744CCF" w:rsidRDefault="002303C9">
      <w:pPr>
        <w:spacing w:line="360" w:lineRule="auto"/>
        <w:ind w:left="360"/>
        <w:jc w:val="both"/>
        <w:rPr>
          <w:szCs w:val="24"/>
        </w:rPr>
      </w:pPr>
    </w:p>
    <w:p w:rsidR="003B10A1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b/>
          <w:bCs/>
          <w:szCs w:val="24"/>
        </w:rPr>
        <w:t>O ILC (Indicador de Liquidez Corrente)</w:t>
      </w:r>
      <w:r w:rsidR="00C60997" w:rsidRPr="00744CCF">
        <w:rPr>
          <w:b/>
          <w:bCs/>
          <w:szCs w:val="24"/>
        </w:rPr>
        <w:t xml:space="preserve"> </w:t>
      </w:r>
      <w:r w:rsidR="00C60997" w:rsidRPr="00744CCF">
        <w:rPr>
          <w:bCs/>
          <w:szCs w:val="24"/>
        </w:rPr>
        <w:t>mede</w:t>
      </w:r>
      <w:r w:rsidRPr="00744CCF">
        <w:rPr>
          <w:szCs w:val="24"/>
        </w:rPr>
        <w:t xml:space="preserve"> a capacidade da Organização em saldar suas obrigações de curto prazo. </w:t>
      </w:r>
    </w:p>
    <w:p w:rsidR="00A27CC2" w:rsidRDefault="00B53B70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Ob</w:t>
      </w:r>
      <w:r w:rsidR="00253F60" w:rsidRPr="00744CCF">
        <w:rPr>
          <w:szCs w:val="24"/>
        </w:rPr>
        <w:t>s</w:t>
      </w:r>
      <w:r w:rsidR="000D395F" w:rsidRPr="00744CCF">
        <w:rPr>
          <w:szCs w:val="24"/>
        </w:rPr>
        <w:t xml:space="preserve">erva-se </w:t>
      </w:r>
      <w:r w:rsidR="00377A81">
        <w:rPr>
          <w:szCs w:val="24"/>
        </w:rPr>
        <w:t xml:space="preserve">que apesar de ter </w:t>
      </w:r>
      <w:r w:rsidR="00A32123">
        <w:rPr>
          <w:szCs w:val="24"/>
        </w:rPr>
        <w:t xml:space="preserve">iniciado o ano com um indicador de 1,14 no primeiro trimestre, </w:t>
      </w:r>
      <w:r w:rsidR="00377A81">
        <w:rPr>
          <w:szCs w:val="24"/>
        </w:rPr>
        <w:t xml:space="preserve">no </w:t>
      </w:r>
      <w:r w:rsidR="00A32123">
        <w:rPr>
          <w:szCs w:val="24"/>
        </w:rPr>
        <w:t xml:space="preserve">final do ano fechou com </w:t>
      </w:r>
      <w:r w:rsidR="00377A81">
        <w:rPr>
          <w:szCs w:val="24"/>
        </w:rPr>
        <w:t>uma melhora (1,1</w:t>
      </w:r>
      <w:r w:rsidR="00A32123">
        <w:rPr>
          <w:szCs w:val="24"/>
        </w:rPr>
        <w:t>9</w:t>
      </w:r>
      <w:r w:rsidR="00377A81">
        <w:rPr>
          <w:szCs w:val="24"/>
        </w:rPr>
        <w:t xml:space="preserve"> em média), consolidando uma tendência de melhora indicado no relatório</w:t>
      </w:r>
      <w:r w:rsidR="00AD0FDB" w:rsidRPr="00744CCF">
        <w:rPr>
          <w:szCs w:val="24"/>
        </w:rPr>
        <w:t xml:space="preserve"> </w:t>
      </w:r>
      <w:r w:rsidR="00377A81">
        <w:rPr>
          <w:szCs w:val="24"/>
        </w:rPr>
        <w:t>do 3º trimestre de 201</w:t>
      </w:r>
      <w:r w:rsidR="00A32123">
        <w:rPr>
          <w:szCs w:val="24"/>
        </w:rPr>
        <w:t>4</w:t>
      </w:r>
      <w:r w:rsidR="00377A81">
        <w:rPr>
          <w:szCs w:val="24"/>
        </w:rPr>
        <w:t xml:space="preserve">. </w:t>
      </w:r>
    </w:p>
    <w:p w:rsidR="00A27CC2" w:rsidRDefault="00A27CC2">
      <w:pPr>
        <w:spacing w:line="360" w:lineRule="auto"/>
        <w:jc w:val="both"/>
        <w:rPr>
          <w:szCs w:val="24"/>
        </w:rPr>
      </w:pPr>
    </w:p>
    <w:p w:rsidR="00662BF0" w:rsidRPr="00744CCF" w:rsidRDefault="00377A81">
      <w:pPr>
        <w:spacing w:line="360" w:lineRule="auto"/>
        <w:jc w:val="both"/>
        <w:rPr>
          <w:color w:val="FF0000"/>
          <w:szCs w:val="24"/>
        </w:rPr>
      </w:pPr>
      <w:r>
        <w:rPr>
          <w:szCs w:val="24"/>
        </w:rPr>
        <w:t xml:space="preserve">Este indicador permanece com um desempenho </w:t>
      </w:r>
      <w:r w:rsidR="00DB487D" w:rsidRPr="00744CCF">
        <w:rPr>
          <w:szCs w:val="24"/>
        </w:rPr>
        <w:t>acima</w:t>
      </w:r>
      <w:r w:rsidR="002303C9" w:rsidRPr="00744CCF">
        <w:rPr>
          <w:szCs w:val="24"/>
        </w:rPr>
        <w:t xml:space="preserve"> da meta </w:t>
      </w:r>
      <w:r w:rsidR="00F85D47" w:rsidRPr="00744CCF">
        <w:rPr>
          <w:szCs w:val="24"/>
        </w:rPr>
        <w:t xml:space="preserve">estabelecida </w:t>
      </w:r>
      <w:r w:rsidR="00F560D4" w:rsidRPr="00744CCF">
        <w:rPr>
          <w:szCs w:val="24"/>
        </w:rPr>
        <w:t>(maior do que 1,00</w:t>
      </w:r>
      <w:r w:rsidR="002303C9" w:rsidRPr="00744CCF">
        <w:rPr>
          <w:szCs w:val="24"/>
        </w:rPr>
        <w:t>)</w:t>
      </w:r>
      <w:r w:rsidR="00A80ECF" w:rsidRPr="00744CCF">
        <w:rPr>
          <w:szCs w:val="24"/>
        </w:rPr>
        <w:t>.</w:t>
      </w:r>
      <w:r w:rsidR="00662554" w:rsidRPr="00744CCF">
        <w:rPr>
          <w:szCs w:val="24"/>
        </w:rPr>
        <w:t xml:space="preserve"> </w:t>
      </w:r>
    </w:p>
    <w:p w:rsidR="00A27CC2" w:rsidRDefault="00A27CC2">
      <w:pPr>
        <w:spacing w:line="360" w:lineRule="auto"/>
        <w:jc w:val="both"/>
        <w:rPr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No gráfico a seguir, registra-se </w:t>
      </w:r>
      <w:r w:rsidR="002711F0" w:rsidRPr="00744CCF">
        <w:rPr>
          <w:szCs w:val="24"/>
        </w:rPr>
        <w:t>o desempenho no período de 2004 a</w:t>
      </w:r>
      <w:r w:rsidR="00BF43D4" w:rsidRPr="00744CCF">
        <w:rPr>
          <w:szCs w:val="24"/>
        </w:rPr>
        <w:t xml:space="preserve">té </w:t>
      </w:r>
      <w:r w:rsidR="003B3254">
        <w:rPr>
          <w:szCs w:val="24"/>
        </w:rPr>
        <w:t xml:space="preserve">setembro </w:t>
      </w:r>
      <w:r w:rsidR="00BF43D4" w:rsidRPr="00744CCF">
        <w:rPr>
          <w:szCs w:val="24"/>
        </w:rPr>
        <w:t xml:space="preserve">de </w:t>
      </w:r>
      <w:r w:rsidR="00662BF0" w:rsidRPr="00744CCF">
        <w:rPr>
          <w:szCs w:val="24"/>
        </w:rPr>
        <w:t>201</w:t>
      </w:r>
      <w:r w:rsidR="00450716">
        <w:rPr>
          <w:szCs w:val="24"/>
        </w:rPr>
        <w:t>3</w:t>
      </w:r>
      <w:r w:rsidR="00BF43D4" w:rsidRPr="00744CCF">
        <w:rPr>
          <w:szCs w:val="24"/>
        </w:rPr>
        <w:t>:</w:t>
      </w:r>
    </w:p>
    <w:p w:rsidR="004A5D45" w:rsidRPr="00744CCF" w:rsidRDefault="00656087" w:rsidP="00D1048A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370332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66C" w:rsidRPr="00744CCF" w:rsidRDefault="0074266C" w:rsidP="0074266C">
      <w:pPr>
        <w:spacing w:line="360" w:lineRule="auto"/>
        <w:jc w:val="both"/>
        <w:rPr>
          <w:color w:val="FF0000"/>
          <w:szCs w:val="24"/>
        </w:rPr>
      </w:pPr>
    </w:p>
    <w:p w:rsidR="0041377C" w:rsidRDefault="0041377C" w:rsidP="00D74C92">
      <w:pPr>
        <w:pStyle w:val="Ttulo"/>
        <w:numPr>
          <w:ilvl w:val="1"/>
          <w:numId w:val="8"/>
        </w:numPr>
        <w:jc w:val="both"/>
      </w:pPr>
      <w:r w:rsidRPr="00A53D96">
        <w:t>I</w:t>
      </w:r>
      <w:r>
        <w:t>V</w:t>
      </w:r>
      <w:r w:rsidRPr="00A53D96">
        <w:t>O</w:t>
      </w:r>
    </w:p>
    <w:p w:rsidR="0041377C" w:rsidRDefault="0041377C" w:rsidP="0041377C">
      <w:pPr>
        <w:spacing w:line="360" w:lineRule="auto"/>
        <w:jc w:val="both"/>
        <w:rPr>
          <w:rFonts w:cs="Arial"/>
          <w:b/>
          <w:bCs/>
          <w:szCs w:val="24"/>
          <w:u w:val="single"/>
        </w:rPr>
      </w:pPr>
    </w:p>
    <w:p w:rsidR="0041377C" w:rsidRDefault="0041377C" w:rsidP="0041377C">
      <w:pPr>
        <w:spacing w:line="360" w:lineRule="auto"/>
        <w:jc w:val="both"/>
        <w:rPr>
          <w:rFonts w:cs="Arial"/>
          <w:szCs w:val="24"/>
        </w:rPr>
      </w:pPr>
      <w:r w:rsidRPr="00A53D96">
        <w:rPr>
          <w:rFonts w:cs="Arial"/>
          <w:szCs w:val="24"/>
        </w:rPr>
        <w:t xml:space="preserve">O </w:t>
      </w:r>
      <w:r w:rsidRPr="00A53D96">
        <w:rPr>
          <w:rFonts w:cs="Arial"/>
          <w:b/>
          <w:bCs/>
          <w:szCs w:val="24"/>
        </w:rPr>
        <w:t>I</w:t>
      </w:r>
      <w:r>
        <w:rPr>
          <w:rFonts w:cs="Arial"/>
          <w:b/>
          <w:bCs/>
          <w:szCs w:val="24"/>
        </w:rPr>
        <w:t>V</w:t>
      </w:r>
      <w:r w:rsidRPr="00A53D96">
        <w:rPr>
          <w:rFonts w:cs="Arial"/>
          <w:b/>
          <w:bCs/>
          <w:szCs w:val="24"/>
        </w:rPr>
        <w:t>O (</w:t>
      </w:r>
      <w:r w:rsidRPr="00276B85">
        <w:rPr>
          <w:rFonts w:cs="Arial"/>
          <w:b/>
          <w:bCs/>
          <w:szCs w:val="24"/>
        </w:rPr>
        <w:t>Índice</w:t>
      </w:r>
      <w:r>
        <w:rPr>
          <w:rFonts w:cs="Arial"/>
          <w:b/>
          <w:bCs/>
          <w:szCs w:val="24"/>
        </w:rPr>
        <w:t xml:space="preserve"> </w:t>
      </w:r>
      <w:r w:rsidRPr="00276B85">
        <w:rPr>
          <w:rFonts w:cs="Arial"/>
          <w:b/>
          <w:bCs/>
          <w:szCs w:val="24"/>
        </w:rPr>
        <w:t>de Volume por Ocupação</w:t>
      </w:r>
      <w:r w:rsidRPr="00A53D96">
        <w:rPr>
          <w:rFonts w:cs="Arial"/>
          <w:b/>
          <w:bCs/>
          <w:szCs w:val="24"/>
        </w:rPr>
        <w:t xml:space="preserve">) </w:t>
      </w:r>
      <w:r w:rsidRPr="00A53D96">
        <w:rPr>
          <w:rFonts w:cs="Arial"/>
          <w:bCs/>
          <w:szCs w:val="24"/>
        </w:rPr>
        <w:t>mede</w:t>
      </w:r>
      <w:r w:rsidRPr="00A53D96">
        <w:rPr>
          <w:rFonts w:cs="Arial"/>
          <w:szCs w:val="24"/>
        </w:rPr>
        <w:t xml:space="preserve"> a capacidade da Organização em </w:t>
      </w:r>
      <w:r>
        <w:rPr>
          <w:rFonts w:cs="Arial"/>
          <w:szCs w:val="24"/>
        </w:rPr>
        <w:t>comercializar seus produtos em relação à área ocupada</w:t>
      </w:r>
      <w:r w:rsidRPr="00A53D9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Este índice foi recomendado </w:t>
      </w:r>
      <w:r>
        <w:rPr>
          <w:rFonts w:cs="Arial"/>
          <w:szCs w:val="24"/>
        </w:rPr>
        <w:lastRenderedPageBreak/>
        <w:t xml:space="preserve">em estudos anteriores e começou a ser adotado à partir do ano de 2012. Podemos observar que a média anual alcançada em 2012 </w:t>
      </w:r>
      <w:r w:rsidRPr="00317F47">
        <w:rPr>
          <w:rFonts w:cs="Arial"/>
          <w:szCs w:val="24"/>
        </w:rPr>
        <w:t>(1,2</w:t>
      </w:r>
      <w:r w:rsidR="009D7B48">
        <w:rPr>
          <w:rFonts w:cs="Arial"/>
          <w:szCs w:val="24"/>
        </w:rPr>
        <w:t>4</w:t>
      </w:r>
      <w:r w:rsidRPr="00317F47">
        <w:rPr>
          <w:rFonts w:cs="Arial"/>
          <w:szCs w:val="24"/>
        </w:rPr>
        <w:t>)</w:t>
      </w:r>
      <w:r>
        <w:rPr>
          <w:rFonts w:cs="Arial"/>
          <w:szCs w:val="24"/>
        </w:rPr>
        <w:t xml:space="preserve"> e </w:t>
      </w:r>
      <w:r w:rsidR="007A6035">
        <w:rPr>
          <w:rFonts w:cs="Arial"/>
          <w:szCs w:val="24"/>
        </w:rPr>
        <w:t xml:space="preserve">a alcançada </w:t>
      </w:r>
      <w:r w:rsidR="00536E3C">
        <w:rPr>
          <w:rFonts w:cs="Arial"/>
          <w:szCs w:val="24"/>
        </w:rPr>
        <w:t xml:space="preserve">no </w:t>
      </w:r>
      <w:r w:rsidR="009D7B48">
        <w:rPr>
          <w:rFonts w:cs="Arial"/>
          <w:szCs w:val="24"/>
        </w:rPr>
        <w:t xml:space="preserve">ano de </w:t>
      </w:r>
      <w:r w:rsidR="007A6035">
        <w:rPr>
          <w:rFonts w:cs="Arial"/>
          <w:szCs w:val="24"/>
        </w:rPr>
        <w:t>201</w:t>
      </w:r>
      <w:r w:rsidR="007A370A">
        <w:rPr>
          <w:rFonts w:cs="Arial"/>
          <w:szCs w:val="24"/>
        </w:rPr>
        <w:t>4</w:t>
      </w:r>
      <w:r w:rsidR="007A6035">
        <w:rPr>
          <w:rFonts w:cs="Arial"/>
          <w:szCs w:val="24"/>
        </w:rPr>
        <w:t xml:space="preserve"> (1,1</w:t>
      </w:r>
      <w:r w:rsidR="00377A81">
        <w:rPr>
          <w:rFonts w:cs="Arial"/>
          <w:szCs w:val="24"/>
        </w:rPr>
        <w:t>5</w:t>
      </w:r>
      <w:r w:rsidR="007A6035">
        <w:rPr>
          <w:rFonts w:cs="Arial"/>
          <w:szCs w:val="24"/>
        </w:rPr>
        <w:t>)</w:t>
      </w:r>
      <w:r w:rsidRPr="00317F47">
        <w:rPr>
          <w:rFonts w:cs="Arial"/>
          <w:szCs w:val="24"/>
        </w:rPr>
        <w:t>, encontra-se acima da meta estabelecida (maior do que 1,00).</w:t>
      </w:r>
      <w:r w:rsidR="00FC6FEF">
        <w:rPr>
          <w:rFonts w:cs="Arial"/>
          <w:szCs w:val="24"/>
        </w:rPr>
        <w:t xml:space="preserve"> </w:t>
      </w:r>
    </w:p>
    <w:p w:rsidR="0074266C" w:rsidRDefault="0074266C">
      <w:pPr>
        <w:spacing w:line="360" w:lineRule="auto"/>
        <w:jc w:val="both"/>
        <w:rPr>
          <w:szCs w:val="24"/>
        </w:rPr>
      </w:pPr>
    </w:p>
    <w:p w:rsidR="00536E3C" w:rsidRPr="00744CCF" w:rsidRDefault="00656087" w:rsidP="00D1048A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37033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t>IOAD</w:t>
      </w:r>
      <w:r w:rsidR="005B3BE7" w:rsidRPr="00744CCF">
        <w:t xml:space="preserve"> </w:t>
      </w:r>
    </w:p>
    <w:p w:rsidR="002303C9" w:rsidRPr="00744CCF" w:rsidRDefault="002303C9">
      <w:pPr>
        <w:spacing w:line="360" w:lineRule="auto"/>
        <w:ind w:left="360"/>
        <w:jc w:val="both"/>
        <w:rPr>
          <w:szCs w:val="24"/>
        </w:rPr>
      </w:pPr>
    </w:p>
    <w:p w:rsidR="00A43BBF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O </w:t>
      </w:r>
      <w:r w:rsidRPr="00744CCF">
        <w:rPr>
          <w:b/>
          <w:bCs/>
          <w:szCs w:val="24"/>
        </w:rPr>
        <w:t>IOAD (Indicador de Ocupação da Área Disponível)</w:t>
      </w:r>
      <w:r w:rsidR="008B71CF" w:rsidRPr="00744CCF">
        <w:rPr>
          <w:b/>
          <w:bCs/>
          <w:szCs w:val="24"/>
        </w:rPr>
        <w:t xml:space="preserve"> </w:t>
      </w:r>
      <w:r w:rsidR="00B669C0" w:rsidRPr="00744CCF">
        <w:rPr>
          <w:bCs/>
          <w:szCs w:val="24"/>
        </w:rPr>
        <w:t>m</w:t>
      </w:r>
      <w:r w:rsidRPr="00744CCF">
        <w:rPr>
          <w:szCs w:val="24"/>
        </w:rPr>
        <w:t>ede o percentual da área disponível para ocupação que efetivamente</w:t>
      </w:r>
      <w:r w:rsidR="00792428" w:rsidRPr="00744CCF">
        <w:rPr>
          <w:szCs w:val="24"/>
        </w:rPr>
        <w:t xml:space="preserve"> gera Receita direta para a O.S</w:t>
      </w:r>
      <w:r w:rsidRPr="00744CCF">
        <w:rPr>
          <w:szCs w:val="24"/>
        </w:rPr>
        <w:t>. Cabe salientar, porém, que algumas áreas po</w:t>
      </w:r>
      <w:r w:rsidR="00B669C0" w:rsidRPr="00744CCF">
        <w:rPr>
          <w:szCs w:val="24"/>
        </w:rPr>
        <w:t>d</w:t>
      </w:r>
      <w:r w:rsidRPr="00744CCF">
        <w:rPr>
          <w:szCs w:val="24"/>
        </w:rPr>
        <w:t>em ser cedidas e outras podem gerar Receitas não proporcionais a sua área física, se comparadas com a média. Assim, comparativamente em dois períodos distintos, podemos ter um percentual de ocupação menor e uma receita maior, ou vice-versa, a depender do tipo de contrato estabelecido com o permissionário</w:t>
      </w:r>
      <w:r w:rsidRPr="00744CCF">
        <w:rPr>
          <w:color w:val="FF0000"/>
          <w:szCs w:val="24"/>
        </w:rPr>
        <w:t>.</w:t>
      </w:r>
    </w:p>
    <w:p w:rsidR="00A43BBF" w:rsidRPr="00744CCF" w:rsidRDefault="00A43BBF">
      <w:pPr>
        <w:spacing w:line="360" w:lineRule="auto"/>
        <w:jc w:val="both"/>
        <w:rPr>
          <w:color w:val="FF0000"/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A meta estabelecida para este indicador é bastante arrojada, pois prevê 100% de ocupação da área disponível para locação comercial.</w:t>
      </w:r>
      <w:r w:rsidR="00A27CC2">
        <w:rPr>
          <w:szCs w:val="24"/>
        </w:rPr>
        <w:t xml:space="preserve"> </w:t>
      </w:r>
      <w:r w:rsidRPr="00744CCF">
        <w:rPr>
          <w:szCs w:val="24"/>
        </w:rPr>
        <w:t xml:space="preserve">Após diversos redimensionamentos em função de áreas </w:t>
      </w:r>
      <w:r w:rsidR="009B16D4" w:rsidRPr="00744CCF">
        <w:rPr>
          <w:szCs w:val="24"/>
        </w:rPr>
        <w:t>subutilizadas</w:t>
      </w:r>
      <w:r w:rsidRPr="00744CCF">
        <w:rPr>
          <w:szCs w:val="24"/>
        </w:rPr>
        <w:t>, a CEASA d</w:t>
      </w:r>
      <w:r w:rsidR="002711F0" w:rsidRPr="00744CCF">
        <w:rPr>
          <w:szCs w:val="24"/>
        </w:rPr>
        <w:t xml:space="preserve">isponibiliza hoje de cerca </w:t>
      </w:r>
      <w:r w:rsidR="00E36B73" w:rsidRPr="00744CCF">
        <w:rPr>
          <w:szCs w:val="24"/>
        </w:rPr>
        <w:t xml:space="preserve">de </w:t>
      </w:r>
      <w:r w:rsidR="009D7B48">
        <w:rPr>
          <w:szCs w:val="24"/>
        </w:rPr>
        <w:t>7</w:t>
      </w:r>
      <w:r w:rsidR="00656087">
        <w:rPr>
          <w:szCs w:val="24"/>
        </w:rPr>
        <w:t>8</w:t>
      </w:r>
      <w:r w:rsidR="009D7B48">
        <w:rPr>
          <w:szCs w:val="24"/>
        </w:rPr>
        <w:t>.</w:t>
      </w:r>
      <w:r w:rsidR="00656087">
        <w:rPr>
          <w:szCs w:val="24"/>
        </w:rPr>
        <w:t>0</w:t>
      </w:r>
      <w:r w:rsidR="009D7B48">
        <w:rPr>
          <w:szCs w:val="24"/>
        </w:rPr>
        <w:t>0</w:t>
      </w:r>
      <w:r w:rsidR="002F163D">
        <w:rPr>
          <w:szCs w:val="24"/>
        </w:rPr>
        <w:t>0</w:t>
      </w:r>
      <w:r w:rsidRPr="00744CCF">
        <w:rPr>
          <w:szCs w:val="24"/>
        </w:rPr>
        <w:t xml:space="preserve"> m</w:t>
      </w:r>
      <w:r w:rsidRPr="00744CCF">
        <w:rPr>
          <w:szCs w:val="24"/>
          <w:vertAlign w:val="superscript"/>
        </w:rPr>
        <w:t>2</w:t>
      </w:r>
      <w:r w:rsidRPr="00744CCF">
        <w:rPr>
          <w:szCs w:val="24"/>
        </w:rPr>
        <w:t xml:space="preserve"> de área para locação.</w:t>
      </w:r>
    </w:p>
    <w:p w:rsidR="002303C9" w:rsidRPr="00744CCF" w:rsidRDefault="002303C9">
      <w:pPr>
        <w:spacing w:line="360" w:lineRule="auto"/>
        <w:jc w:val="both"/>
        <w:rPr>
          <w:color w:val="FF0000"/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Obs</w:t>
      </w:r>
      <w:r w:rsidR="00D654B0" w:rsidRPr="00744CCF">
        <w:rPr>
          <w:szCs w:val="24"/>
        </w:rPr>
        <w:t>erva-se que a média atual (99</w:t>
      </w:r>
      <w:r w:rsidR="00E36B73" w:rsidRPr="00744CCF">
        <w:rPr>
          <w:szCs w:val="24"/>
        </w:rPr>
        <w:t>,</w:t>
      </w:r>
      <w:r w:rsidR="00FC6FEF">
        <w:rPr>
          <w:szCs w:val="24"/>
        </w:rPr>
        <w:t>5</w:t>
      </w:r>
      <w:r w:rsidR="00E36B73" w:rsidRPr="00744CCF">
        <w:rPr>
          <w:szCs w:val="24"/>
        </w:rPr>
        <w:t xml:space="preserve">%) </w:t>
      </w:r>
      <w:r w:rsidR="00792428" w:rsidRPr="00744CCF">
        <w:rPr>
          <w:szCs w:val="24"/>
        </w:rPr>
        <w:t>é bastante significativa</w:t>
      </w:r>
      <w:r w:rsidR="00655245" w:rsidRPr="00744CCF">
        <w:rPr>
          <w:szCs w:val="24"/>
        </w:rPr>
        <w:t xml:space="preserve"> e </w:t>
      </w:r>
      <w:r w:rsidR="00792428" w:rsidRPr="00744CCF">
        <w:rPr>
          <w:szCs w:val="24"/>
        </w:rPr>
        <w:t>a CEASA vem trabalhando no sentido de ampliar continuamente o espaço locado. A</w:t>
      </w:r>
      <w:r w:rsidR="00905612" w:rsidRPr="00744CCF">
        <w:rPr>
          <w:szCs w:val="24"/>
        </w:rPr>
        <w:t xml:space="preserve"> disponibilidade de área para locação </w:t>
      </w:r>
      <w:r w:rsidR="00792428" w:rsidRPr="00744CCF">
        <w:rPr>
          <w:szCs w:val="24"/>
        </w:rPr>
        <w:t>em 2004</w:t>
      </w:r>
      <w:r w:rsidR="00655245" w:rsidRPr="00744CCF">
        <w:rPr>
          <w:szCs w:val="24"/>
        </w:rPr>
        <w:t>, no início de operação da O.S.</w:t>
      </w:r>
      <w:r w:rsidR="00792428" w:rsidRPr="00744CCF">
        <w:rPr>
          <w:szCs w:val="24"/>
        </w:rPr>
        <w:t xml:space="preserve">, </w:t>
      </w:r>
      <w:r w:rsidR="00905612" w:rsidRPr="00744CCF">
        <w:rPr>
          <w:szCs w:val="24"/>
        </w:rPr>
        <w:t xml:space="preserve">era de cerca de </w:t>
      </w:r>
      <w:smartTag w:uri="urn:schemas-microsoft-com:office:smarttags" w:element="metricconverter">
        <w:smartTagPr>
          <w:attr w:name="ProductID" w:val="55.000 m2"/>
        </w:smartTagPr>
        <w:r w:rsidR="00905612" w:rsidRPr="00744CCF">
          <w:rPr>
            <w:szCs w:val="24"/>
          </w:rPr>
          <w:t>55.000 m</w:t>
        </w:r>
        <w:r w:rsidR="00905612" w:rsidRPr="00744CCF">
          <w:rPr>
            <w:szCs w:val="24"/>
            <w:vertAlign w:val="superscript"/>
          </w:rPr>
          <w:t>2</w:t>
        </w:r>
      </w:smartTag>
      <w:r w:rsidRPr="00744CCF">
        <w:rPr>
          <w:szCs w:val="24"/>
        </w:rPr>
        <w:t>.</w:t>
      </w:r>
    </w:p>
    <w:p w:rsidR="00792428" w:rsidRPr="00744CCF" w:rsidRDefault="00792428">
      <w:pPr>
        <w:spacing w:line="360" w:lineRule="auto"/>
        <w:jc w:val="both"/>
        <w:rPr>
          <w:color w:val="FF0000"/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Pode-se observar no gráfico a seguir que a taxa </w:t>
      </w:r>
      <w:r w:rsidR="00596A45">
        <w:rPr>
          <w:szCs w:val="24"/>
        </w:rPr>
        <w:t xml:space="preserve">histórica </w:t>
      </w:r>
      <w:r w:rsidRPr="00744CCF">
        <w:rPr>
          <w:szCs w:val="24"/>
        </w:rPr>
        <w:t xml:space="preserve">de ocupação </w:t>
      </w:r>
      <w:r w:rsidR="00596A45">
        <w:rPr>
          <w:szCs w:val="24"/>
        </w:rPr>
        <w:t xml:space="preserve">encontra-se </w:t>
      </w:r>
      <w:r w:rsidR="009C5335" w:rsidRPr="00744CCF">
        <w:rPr>
          <w:szCs w:val="24"/>
        </w:rPr>
        <w:t>acima de 9</w:t>
      </w:r>
      <w:r w:rsidR="00596A45">
        <w:rPr>
          <w:szCs w:val="24"/>
        </w:rPr>
        <w:t>9</w:t>
      </w:r>
      <w:r w:rsidR="009C5335" w:rsidRPr="00744CCF">
        <w:rPr>
          <w:szCs w:val="24"/>
        </w:rPr>
        <w:t>%</w:t>
      </w:r>
      <w:r w:rsidR="00596A45">
        <w:rPr>
          <w:szCs w:val="24"/>
        </w:rPr>
        <w:t>. Í</w:t>
      </w:r>
      <w:r w:rsidR="009C5335" w:rsidRPr="00744CCF">
        <w:rPr>
          <w:szCs w:val="24"/>
        </w:rPr>
        <w:t>ndice bastante razoável para o porte físico da instituição</w:t>
      </w:r>
      <w:r w:rsidRPr="00744CCF">
        <w:rPr>
          <w:szCs w:val="24"/>
        </w:rPr>
        <w:t>.</w:t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</w:p>
    <w:p w:rsidR="002303C9" w:rsidRPr="00744CCF" w:rsidRDefault="00656087" w:rsidP="00D1048A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370332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t>IRLA</w:t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b/>
          <w:bCs/>
          <w:szCs w:val="24"/>
        </w:rPr>
        <w:t>O IRLA (Indicador de Resultado Líquido Aplicável)</w:t>
      </w:r>
      <w:r w:rsidRPr="00744CCF">
        <w:rPr>
          <w:szCs w:val="24"/>
        </w:rPr>
        <w:t xml:space="preserve"> </w:t>
      </w:r>
      <w:r w:rsidR="008B71CF" w:rsidRPr="00744CCF">
        <w:rPr>
          <w:szCs w:val="24"/>
        </w:rPr>
        <w:t>m</w:t>
      </w:r>
      <w:r w:rsidRPr="00744CCF">
        <w:rPr>
          <w:szCs w:val="24"/>
        </w:rPr>
        <w:t>ede o percentual do Resultado Líquido do exercício que estará disponível para ser reinvestido na Organização, seja em estrutura física, marketing ou convertido em benefícios para o cliente.</w:t>
      </w:r>
    </w:p>
    <w:p w:rsidR="00D563C8" w:rsidRDefault="00D563C8">
      <w:pPr>
        <w:rPr>
          <w:szCs w:val="24"/>
        </w:rPr>
      </w:pPr>
      <w:r>
        <w:rPr>
          <w:szCs w:val="24"/>
        </w:rPr>
        <w:br w:type="page"/>
      </w:r>
    </w:p>
    <w:p w:rsidR="00905612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lastRenderedPageBreak/>
        <w:t>Como meta, a CEASA</w:t>
      </w:r>
      <w:r w:rsidR="003B50E5" w:rsidRPr="00744CCF">
        <w:rPr>
          <w:szCs w:val="24"/>
        </w:rPr>
        <w:t>-PE/OS,</w:t>
      </w:r>
      <w:r w:rsidRPr="00744CCF">
        <w:rPr>
          <w:szCs w:val="24"/>
        </w:rPr>
        <w:t xml:space="preserve"> estabeleceu um limite não inferior a 5,0% em seu Resultado Líquido.</w:t>
      </w:r>
      <w:r w:rsidR="008F10F7" w:rsidRPr="00744CCF">
        <w:rPr>
          <w:szCs w:val="24"/>
        </w:rPr>
        <w:t xml:space="preserve"> </w:t>
      </w:r>
      <w:r w:rsidR="00656087">
        <w:rPr>
          <w:szCs w:val="24"/>
        </w:rPr>
        <w:t>Apesar das oscilações ocorridas durante o ano de 2014</w:t>
      </w:r>
      <w:r w:rsidR="005D5E96" w:rsidRPr="00744CCF">
        <w:rPr>
          <w:szCs w:val="24"/>
        </w:rPr>
        <w:t xml:space="preserve">, </w:t>
      </w:r>
      <w:r w:rsidR="008F10F7" w:rsidRPr="00744CCF">
        <w:rPr>
          <w:szCs w:val="24"/>
        </w:rPr>
        <w:t xml:space="preserve">o </w:t>
      </w:r>
      <w:r w:rsidR="005D5E96" w:rsidRPr="00744CCF">
        <w:rPr>
          <w:szCs w:val="24"/>
        </w:rPr>
        <w:t>indicador</w:t>
      </w:r>
      <w:r w:rsidR="008F10F7" w:rsidRPr="00744CCF">
        <w:rPr>
          <w:szCs w:val="24"/>
        </w:rPr>
        <w:t xml:space="preserve"> </w:t>
      </w:r>
      <w:r w:rsidR="00FC6FEF">
        <w:rPr>
          <w:szCs w:val="24"/>
        </w:rPr>
        <w:t xml:space="preserve">terminou o ano </w:t>
      </w:r>
      <w:r w:rsidR="00337F85">
        <w:rPr>
          <w:szCs w:val="24"/>
        </w:rPr>
        <w:t xml:space="preserve">com um percentual acumulado de </w:t>
      </w:r>
      <w:r w:rsidR="00656087">
        <w:rPr>
          <w:szCs w:val="24"/>
        </w:rPr>
        <w:t>7</w:t>
      </w:r>
      <w:r w:rsidR="00337F85">
        <w:rPr>
          <w:szCs w:val="24"/>
        </w:rPr>
        <w:t>,</w:t>
      </w:r>
      <w:r w:rsidR="00656087">
        <w:rPr>
          <w:szCs w:val="24"/>
        </w:rPr>
        <w:t>1</w:t>
      </w:r>
      <w:r w:rsidR="00337F85">
        <w:rPr>
          <w:szCs w:val="24"/>
        </w:rPr>
        <w:t>%</w:t>
      </w:r>
      <w:r w:rsidR="00656087">
        <w:rPr>
          <w:szCs w:val="24"/>
        </w:rPr>
        <w:t>, encostado na média histórica que está ancorada em 7,0%.</w:t>
      </w:r>
      <w:r w:rsidR="005D5E96" w:rsidRPr="00744CCF">
        <w:rPr>
          <w:szCs w:val="24"/>
        </w:rPr>
        <w:t xml:space="preserve"> </w:t>
      </w:r>
    </w:p>
    <w:p w:rsidR="00D1048A" w:rsidRDefault="00D1048A">
      <w:pPr>
        <w:rPr>
          <w:szCs w:val="24"/>
        </w:rPr>
      </w:pPr>
    </w:p>
    <w:p w:rsidR="00B461A9" w:rsidRPr="00C01624" w:rsidRDefault="00C01624" w:rsidP="00C01624">
      <w:pPr>
        <w:spacing w:line="360" w:lineRule="auto"/>
        <w:jc w:val="both"/>
      </w:pPr>
      <w:r>
        <w:rPr>
          <w:sz w:val="28"/>
        </w:rPr>
        <w:t>C</w:t>
      </w:r>
      <w:r w:rsidRPr="00C01624">
        <w:t xml:space="preserve">onforme visualizado no Quadro </w:t>
      </w:r>
      <w:smartTag w:uri="urn:schemas-microsoft-com:office:smarttags" w:element="metricconverter">
        <w:smartTagPr>
          <w:attr w:name="ProductID" w:val="02, a"/>
        </w:smartTagPr>
        <w:r w:rsidRPr="00C01624">
          <w:t>02, a</w:t>
        </w:r>
      </w:smartTag>
      <w:r w:rsidRPr="00C01624">
        <w:t xml:space="preserve"> seguir, vemos um comparativo referente aos valores investidos na O.S. desde a sua criação.</w:t>
      </w:r>
      <w:r w:rsidR="00B461A9">
        <w:t xml:space="preserve"> Salienta-se que no 3º trimestre de 2014 houve uma reavaliação do item obras em andamento, reduzindo o valor do investimento no período.</w:t>
      </w:r>
      <w:r w:rsidR="00F22969">
        <w:t xml:space="preserve"> </w:t>
      </w:r>
    </w:p>
    <w:p w:rsidR="00C01624" w:rsidRDefault="00C01624" w:rsidP="00C01624">
      <w:pPr>
        <w:spacing w:line="360" w:lineRule="auto"/>
        <w:jc w:val="both"/>
        <w:rPr>
          <w:sz w:val="20"/>
        </w:rPr>
      </w:pPr>
    </w:p>
    <w:p w:rsidR="00C01624" w:rsidRPr="008F7351" w:rsidRDefault="00C01624" w:rsidP="00C01624">
      <w:pPr>
        <w:spacing w:line="360" w:lineRule="auto"/>
        <w:jc w:val="both"/>
        <w:rPr>
          <w:color w:val="000000" w:themeColor="text1"/>
          <w:sz w:val="20"/>
        </w:rPr>
      </w:pPr>
      <w:r w:rsidRPr="008F7351">
        <w:rPr>
          <w:color w:val="000000" w:themeColor="text1"/>
          <w:sz w:val="20"/>
        </w:rPr>
        <w:t>QUADRO 02: Desembolso realizado para investimentos</w:t>
      </w:r>
    </w:p>
    <w:p w:rsidR="008F7351" w:rsidRPr="00EB27E5" w:rsidRDefault="00B461A9" w:rsidP="00CF35DD">
      <w:pPr>
        <w:spacing w:line="360" w:lineRule="auto"/>
        <w:jc w:val="center"/>
        <w:rPr>
          <w:sz w:val="20"/>
        </w:rPr>
      </w:pPr>
      <w:r w:rsidRPr="00B461A9">
        <w:rPr>
          <w:noProof/>
        </w:rPr>
        <w:drawing>
          <wp:inline distT="0" distB="0" distL="0" distR="0">
            <wp:extent cx="5940425" cy="1166967"/>
            <wp:effectExtent l="0" t="0" r="317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624" w:rsidRPr="008F7351" w:rsidRDefault="00C01624" w:rsidP="00C01624">
      <w:pPr>
        <w:spacing w:line="360" w:lineRule="auto"/>
        <w:jc w:val="both"/>
        <w:rPr>
          <w:color w:val="000000" w:themeColor="text1"/>
          <w:sz w:val="20"/>
        </w:rPr>
      </w:pPr>
    </w:p>
    <w:p w:rsidR="00C01624" w:rsidRPr="008F7351" w:rsidRDefault="00C01624" w:rsidP="00C01624">
      <w:pPr>
        <w:spacing w:line="360" w:lineRule="auto"/>
        <w:jc w:val="both"/>
        <w:rPr>
          <w:b/>
          <w:color w:val="000000" w:themeColor="text1"/>
          <w:sz w:val="20"/>
        </w:rPr>
      </w:pPr>
      <w:r w:rsidRPr="008F7351">
        <w:rPr>
          <w:b/>
          <w:color w:val="000000" w:themeColor="text1"/>
          <w:sz w:val="20"/>
        </w:rPr>
        <w:t>PERCENTUAL DE INVESTIMENTOS EM RELAÇÃO À RECEITA TOTAL ACUMULADA</w:t>
      </w:r>
    </w:p>
    <w:p w:rsidR="00C01624" w:rsidRPr="008F7351" w:rsidRDefault="00C01624" w:rsidP="00C01624">
      <w:pPr>
        <w:spacing w:line="360" w:lineRule="auto"/>
        <w:jc w:val="both"/>
        <w:rPr>
          <w:b/>
          <w:color w:val="000000" w:themeColor="text1"/>
          <w:sz w:val="20"/>
        </w:rPr>
      </w:pPr>
      <w:r w:rsidRPr="008F7351">
        <w:rPr>
          <w:b/>
          <w:color w:val="000000" w:themeColor="text1"/>
          <w:sz w:val="20"/>
        </w:rPr>
        <w:t>(</w:t>
      </w:r>
      <w:smartTag w:uri="urn:schemas-microsoft-com:office:smarttags" w:element="metricconverter">
        <w:smartTagPr>
          <w:attr w:name="ProductID" w:val="2004 a"/>
        </w:smartTagPr>
        <w:r w:rsidRPr="008F7351">
          <w:rPr>
            <w:b/>
            <w:color w:val="000000" w:themeColor="text1"/>
            <w:sz w:val="20"/>
          </w:rPr>
          <w:t>2004 a</w:t>
        </w:r>
        <w:r w:rsidR="00CF35DD" w:rsidRPr="008F7351">
          <w:rPr>
            <w:b/>
            <w:color w:val="000000" w:themeColor="text1"/>
            <w:sz w:val="20"/>
          </w:rPr>
          <w:t>té</w:t>
        </w:r>
      </w:smartTag>
      <w:r w:rsidRPr="008F7351">
        <w:rPr>
          <w:b/>
          <w:color w:val="000000" w:themeColor="text1"/>
          <w:sz w:val="20"/>
        </w:rPr>
        <w:t xml:space="preserve"> 201</w:t>
      </w:r>
      <w:r w:rsidR="00575C54">
        <w:rPr>
          <w:b/>
          <w:color w:val="000000" w:themeColor="text1"/>
          <w:sz w:val="20"/>
        </w:rPr>
        <w:t>4</w:t>
      </w:r>
      <w:r w:rsidRPr="008F7351">
        <w:rPr>
          <w:b/>
          <w:color w:val="000000" w:themeColor="text1"/>
          <w:sz w:val="20"/>
        </w:rPr>
        <w:t xml:space="preserve">) </w:t>
      </w:r>
      <w:r w:rsidRPr="008F7351">
        <w:rPr>
          <w:b/>
          <w:color w:val="000000" w:themeColor="text1"/>
          <w:sz w:val="20"/>
        </w:rPr>
        <w:sym w:font="Wingdings" w:char="F0E0"/>
      </w:r>
      <w:r w:rsidRPr="008F7351">
        <w:rPr>
          <w:b/>
          <w:color w:val="000000" w:themeColor="text1"/>
          <w:sz w:val="20"/>
        </w:rPr>
        <w:t xml:space="preserve"> </w:t>
      </w:r>
      <w:r w:rsidR="00A11B5F">
        <w:rPr>
          <w:b/>
          <w:color w:val="000000" w:themeColor="text1"/>
          <w:sz w:val="20"/>
        </w:rPr>
        <w:t>6</w:t>
      </w:r>
      <w:r w:rsidR="00CF35DD" w:rsidRPr="008F7351">
        <w:rPr>
          <w:b/>
          <w:color w:val="000000" w:themeColor="text1"/>
          <w:sz w:val="20"/>
        </w:rPr>
        <w:t>,</w:t>
      </w:r>
      <w:r w:rsidR="00A11B5F">
        <w:rPr>
          <w:b/>
          <w:color w:val="000000" w:themeColor="text1"/>
          <w:sz w:val="20"/>
        </w:rPr>
        <w:t>14</w:t>
      </w:r>
      <w:r w:rsidR="008F7351">
        <w:rPr>
          <w:b/>
          <w:color w:val="000000" w:themeColor="text1"/>
          <w:sz w:val="20"/>
        </w:rPr>
        <w:t>1</w:t>
      </w:r>
      <w:r w:rsidRPr="008F7351">
        <w:rPr>
          <w:b/>
          <w:color w:val="000000" w:themeColor="text1"/>
          <w:sz w:val="20"/>
        </w:rPr>
        <w:t>%</w:t>
      </w:r>
    </w:p>
    <w:p w:rsidR="00C01624" w:rsidRPr="00C01624" w:rsidRDefault="00C01624" w:rsidP="00C01624">
      <w:pPr>
        <w:spacing w:line="360" w:lineRule="auto"/>
        <w:jc w:val="both"/>
        <w:rPr>
          <w:sz w:val="20"/>
          <w:szCs w:val="22"/>
        </w:rPr>
      </w:pPr>
    </w:p>
    <w:p w:rsidR="00C01624" w:rsidRPr="00C01624" w:rsidRDefault="00C01624" w:rsidP="00C01624">
      <w:pPr>
        <w:tabs>
          <w:tab w:val="left" w:pos="0"/>
        </w:tabs>
        <w:spacing w:line="360" w:lineRule="auto"/>
        <w:jc w:val="both"/>
      </w:pPr>
      <w:r w:rsidRPr="00C01624">
        <w:t xml:space="preserve">Observa-se que a O.S. investiu até o momento mais de R$ </w:t>
      </w:r>
      <w:r w:rsidR="007A2E40">
        <w:t>2</w:t>
      </w:r>
      <w:r w:rsidR="00B461A9">
        <w:t>6</w:t>
      </w:r>
      <w:r w:rsidRPr="00C01624">
        <w:t xml:space="preserve"> milhões</w:t>
      </w:r>
      <w:r w:rsidR="00A27CC2">
        <w:t xml:space="preserve"> e que no ano de 2013 </w:t>
      </w:r>
      <w:r w:rsidR="00B461A9">
        <w:t xml:space="preserve">e 2014 </w:t>
      </w:r>
      <w:r w:rsidR="00A27CC2">
        <w:t>houve uma diminuição do ritmo de investimentos, o que demonstra a preocupação da administração em não comprometer mais do que sua disponibilidade</w:t>
      </w:r>
      <w:r w:rsidRPr="00C01624">
        <w:t xml:space="preserve">. </w:t>
      </w:r>
      <w:r w:rsidR="00217A97">
        <w:t>E</w:t>
      </w:r>
      <w:r w:rsidRPr="00C01624">
        <w:t>mbora a média do valor referente ao resultado líquido esteja dentro da meta prevista, para continuar competitiva a O.S. necessita de uma estratégia de parcerias para realizar os investimentos sem comprometer sua saúde financeira.</w:t>
      </w:r>
    </w:p>
    <w:p w:rsidR="00C01624" w:rsidRPr="00744CCF" w:rsidRDefault="00C01624" w:rsidP="00C01624">
      <w:pPr>
        <w:tabs>
          <w:tab w:val="left" w:pos="0"/>
        </w:tabs>
        <w:spacing w:line="360" w:lineRule="auto"/>
        <w:jc w:val="both"/>
        <w:rPr>
          <w:szCs w:val="24"/>
        </w:rPr>
      </w:pPr>
    </w:p>
    <w:p w:rsidR="008F10F7" w:rsidRPr="00744CCF" w:rsidRDefault="002303C9" w:rsidP="008F10F7">
      <w:pPr>
        <w:tabs>
          <w:tab w:val="left" w:pos="0"/>
        </w:tabs>
        <w:spacing w:line="360" w:lineRule="auto"/>
        <w:jc w:val="both"/>
        <w:rPr>
          <w:szCs w:val="24"/>
        </w:rPr>
      </w:pPr>
      <w:r w:rsidRPr="00744CCF">
        <w:rPr>
          <w:szCs w:val="24"/>
        </w:rPr>
        <w:t>A seguir, temos a evolução do IRLA ao longo dos meses avaliados:</w:t>
      </w:r>
    </w:p>
    <w:p w:rsidR="008F10F7" w:rsidRPr="00744CCF" w:rsidRDefault="008F10F7">
      <w:pPr>
        <w:spacing w:line="360" w:lineRule="auto"/>
        <w:jc w:val="both"/>
        <w:rPr>
          <w:szCs w:val="24"/>
        </w:rPr>
      </w:pPr>
    </w:p>
    <w:p w:rsidR="008F10F7" w:rsidRPr="00744CCF" w:rsidRDefault="00F22969" w:rsidP="00D1048A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370332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406" w:rsidRPr="00744CCF" w:rsidRDefault="00A12406">
      <w:pPr>
        <w:spacing w:line="400" w:lineRule="exact"/>
        <w:jc w:val="both"/>
        <w:rPr>
          <w:szCs w:val="24"/>
        </w:rPr>
      </w:pPr>
      <w:r w:rsidRPr="00744CCF">
        <w:rPr>
          <w:szCs w:val="24"/>
        </w:rPr>
        <w:t xml:space="preserve">Cabe lembrar que alguns lançamentos contábeis </w:t>
      </w:r>
      <w:r w:rsidR="00BE3073">
        <w:rPr>
          <w:szCs w:val="24"/>
        </w:rPr>
        <w:t xml:space="preserve">estão passíveis de ajustes, </w:t>
      </w:r>
      <w:r w:rsidRPr="00744CCF">
        <w:rPr>
          <w:szCs w:val="24"/>
        </w:rPr>
        <w:t xml:space="preserve">o que </w:t>
      </w:r>
      <w:r w:rsidR="00DB3A1C" w:rsidRPr="00744CCF">
        <w:rPr>
          <w:szCs w:val="24"/>
        </w:rPr>
        <w:t>poder</w:t>
      </w:r>
      <w:r w:rsidR="00BE3073">
        <w:rPr>
          <w:szCs w:val="24"/>
        </w:rPr>
        <w:t>ia</w:t>
      </w:r>
      <w:r w:rsidRPr="00744CCF">
        <w:rPr>
          <w:szCs w:val="24"/>
        </w:rPr>
        <w:t xml:space="preserve"> </w:t>
      </w:r>
      <w:r w:rsidR="00836673" w:rsidRPr="00744CCF">
        <w:rPr>
          <w:szCs w:val="24"/>
        </w:rPr>
        <w:t>modificar</w:t>
      </w:r>
      <w:r w:rsidR="008F10F7" w:rsidRPr="00744CCF">
        <w:rPr>
          <w:szCs w:val="24"/>
        </w:rPr>
        <w:t xml:space="preserve"> discretamente</w:t>
      </w:r>
      <w:r w:rsidRPr="00744CCF">
        <w:rPr>
          <w:szCs w:val="24"/>
        </w:rPr>
        <w:t xml:space="preserve"> o desempenho retratado por este indicador.</w:t>
      </w:r>
    </w:p>
    <w:p w:rsidR="00E26599" w:rsidRPr="00744CCF" w:rsidRDefault="00E26599">
      <w:pPr>
        <w:spacing w:line="400" w:lineRule="exact"/>
        <w:jc w:val="both"/>
        <w:rPr>
          <w:b/>
          <w:bCs/>
          <w:i/>
          <w:iCs/>
          <w:color w:val="FF0000"/>
          <w:szCs w:val="24"/>
        </w:rPr>
      </w:pPr>
    </w:p>
    <w:p w:rsidR="00997D7B" w:rsidRDefault="002303C9" w:rsidP="008F10F7">
      <w:pPr>
        <w:spacing w:line="360" w:lineRule="auto"/>
        <w:rPr>
          <w:b/>
          <w:bCs/>
          <w:i/>
          <w:iCs/>
          <w:szCs w:val="24"/>
        </w:rPr>
      </w:pPr>
      <w:r w:rsidRPr="00744CCF">
        <w:rPr>
          <w:b/>
          <w:bCs/>
          <w:i/>
          <w:iCs/>
          <w:szCs w:val="24"/>
        </w:rPr>
        <w:t>Quadro 0</w:t>
      </w:r>
      <w:r w:rsidR="008E1D9F" w:rsidRPr="00744CCF">
        <w:rPr>
          <w:b/>
          <w:bCs/>
          <w:i/>
          <w:iCs/>
          <w:szCs w:val="24"/>
        </w:rPr>
        <w:t>3</w:t>
      </w:r>
      <w:r w:rsidRPr="00744CCF">
        <w:rPr>
          <w:b/>
          <w:bCs/>
          <w:i/>
          <w:iCs/>
          <w:szCs w:val="24"/>
        </w:rPr>
        <w:t>: Demonstrativo de Resultados</w:t>
      </w:r>
    </w:p>
    <w:p w:rsidR="00E26599" w:rsidRPr="00744CCF" w:rsidRDefault="00AE6250" w:rsidP="007C346D">
      <w:pPr>
        <w:spacing w:line="360" w:lineRule="auto"/>
        <w:jc w:val="center"/>
        <w:rPr>
          <w:szCs w:val="24"/>
        </w:rPr>
      </w:pPr>
      <w:r w:rsidRPr="00AE6250">
        <w:rPr>
          <w:noProof/>
        </w:rPr>
        <w:drawing>
          <wp:inline distT="0" distB="0" distL="0" distR="0">
            <wp:extent cx="3578225" cy="3244215"/>
            <wp:effectExtent l="0" t="0" r="317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34" w:rsidRPr="00744CCF" w:rsidRDefault="006F6F34">
      <w:pPr>
        <w:spacing w:line="360" w:lineRule="auto"/>
        <w:jc w:val="both"/>
        <w:rPr>
          <w:b/>
          <w:bCs/>
          <w:color w:val="FF0000"/>
          <w:szCs w:val="24"/>
        </w:rPr>
      </w:pP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lastRenderedPageBreak/>
        <w:t>IPCP</w:t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b/>
          <w:bCs/>
          <w:szCs w:val="24"/>
        </w:rPr>
        <w:t>O IPCP (Indicador de Participação dos Custos de Pessoal na Receita Total)</w:t>
      </w:r>
      <w:r w:rsidRPr="00744CCF">
        <w:rPr>
          <w:szCs w:val="24"/>
        </w:rPr>
        <w:t xml:space="preserve"> </w:t>
      </w:r>
      <w:r w:rsidR="008B71CF" w:rsidRPr="00744CCF">
        <w:rPr>
          <w:szCs w:val="24"/>
        </w:rPr>
        <w:t>m</w:t>
      </w:r>
      <w:r w:rsidRPr="00744CCF">
        <w:rPr>
          <w:szCs w:val="24"/>
        </w:rPr>
        <w:t>ede o impacto da Folha de Pagamento da O.S. no Total de Receita por ela gerada.</w:t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Cabem aqui algumas considerações a respeito do cálculo deste indicador:</w:t>
      </w:r>
    </w:p>
    <w:p w:rsidR="002303C9" w:rsidRPr="00744CCF" w:rsidRDefault="002303C9" w:rsidP="00D74C92">
      <w:pPr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744CCF">
        <w:rPr>
          <w:szCs w:val="24"/>
        </w:rPr>
        <w:t>O índice é calculado através de informações fornecidas nos balancetes.</w:t>
      </w:r>
    </w:p>
    <w:p w:rsidR="002303C9" w:rsidRPr="00744CCF" w:rsidRDefault="002303C9" w:rsidP="00D74C92">
      <w:pPr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744CCF">
        <w:rPr>
          <w:szCs w:val="24"/>
        </w:rPr>
        <w:t>Considera-se a participação da Folha na Receita Total da O.S.</w:t>
      </w:r>
    </w:p>
    <w:p w:rsidR="002303C9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Como meta contratual, em função dos resultados obtidos ao longo dos dois primeiros anos, </w:t>
      </w:r>
      <w:r w:rsidR="00AB7A33" w:rsidRPr="00744CCF">
        <w:rPr>
          <w:szCs w:val="24"/>
        </w:rPr>
        <w:t>ajustou-se no Plano de Ação 2006</w:t>
      </w:r>
      <w:r w:rsidRPr="00744CCF">
        <w:rPr>
          <w:szCs w:val="24"/>
        </w:rPr>
        <w:t>/2007 o valor de 50% para 45% de limite da participação dos Custos com Pessoal na Receita Total</w:t>
      </w:r>
      <w:r w:rsidR="00AB7A33" w:rsidRPr="00744CCF">
        <w:rPr>
          <w:szCs w:val="24"/>
        </w:rPr>
        <w:t>, patam</w:t>
      </w:r>
      <w:r w:rsidR="00470CE9" w:rsidRPr="00744CCF">
        <w:rPr>
          <w:szCs w:val="24"/>
        </w:rPr>
        <w:t>ar mantido no Plano de Ação 2012/2014</w:t>
      </w:r>
      <w:r w:rsidRPr="00744CCF">
        <w:rPr>
          <w:szCs w:val="24"/>
        </w:rPr>
        <w:t>.</w:t>
      </w:r>
    </w:p>
    <w:p w:rsidR="00D1048A" w:rsidRPr="00744CCF" w:rsidRDefault="00D1048A">
      <w:pPr>
        <w:spacing w:line="360" w:lineRule="auto"/>
        <w:jc w:val="both"/>
        <w:rPr>
          <w:szCs w:val="24"/>
        </w:rPr>
      </w:pPr>
    </w:p>
    <w:p w:rsidR="001424AE" w:rsidRPr="00744CCF" w:rsidRDefault="002303C9" w:rsidP="00970E0C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A seguir, vemos a variação desse indicador ao longo </w:t>
      </w:r>
      <w:r w:rsidR="008F7430" w:rsidRPr="00744CCF">
        <w:rPr>
          <w:szCs w:val="24"/>
        </w:rPr>
        <w:t>do período</w:t>
      </w:r>
      <w:r w:rsidRPr="00744CCF">
        <w:rPr>
          <w:szCs w:val="24"/>
        </w:rPr>
        <w:t xml:space="preserve"> considerado.</w:t>
      </w:r>
    </w:p>
    <w:p w:rsidR="00970E0C" w:rsidRPr="00744CCF" w:rsidRDefault="00F40677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370332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69E" w:rsidRPr="00744CCF" w:rsidRDefault="004017F2" w:rsidP="00487FAE">
      <w:pPr>
        <w:spacing w:line="360" w:lineRule="auto"/>
        <w:jc w:val="both"/>
        <w:rPr>
          <w:szCs w:val="24"/>
        </w:rPr>
      </w:pPr>
      <w:r>
        <w:rPr>
          <w:szCs w:val="24"/>
        </w:rPr>
        <w:t>E</w:t>
      </w:r>
      <w:r w:rsidR="00B06EAB" w:rsidRPr="00744CCF">
        <w:rPr>
          <w:szCs w:val="24"/>
        </w:rPr>
        <w:t xml:space="preserve">ste é um indicador que desde o início </w:t>
      </w:r>
      <w:r w:rsidR="000A3A6F" w:rsidRPr="00744CCF">
        <w:rPr>
          <w:szCs w:val="24"/>
        </w:rPr>
        <w:t xml:space="preserve">da operação vem se mantendo sob </w:t>
      </w:r>
      <w:r w:rsidR="00B06EAB" w:rsidRPr="00744CCF">
        <w:rPr>
          <w:szCs w:val="24"/>
        </w:rPr>
        <w:t>controle</w:t>
      </w:r>
      <w:r w:rsidR="007D7371">
        <w:rPr>
          <w:szCs w:val="24"/>
        </w:rPr>
        <w:t>. Pe</w:t>
      </w:r>
      <w:r w:rsidR="00723179">
        <w:rPr>
          <w:szCs w:val="24"/>
        </w:rPr>
        <w:t xml:space="preserve">rcebe-se que no </w:t>
      </w:r>
      <w:r w:rsidR="007D72E8">
        <w:rPr>
          <w:szCs w:val="24"/>
        </w:rPr>
        <w:t xml:space="preserve">ano de 2013 </w:t>
      </w:r>
      <w:r w:rsidR="00F40677">
        <w:rPr>
          <w:szCs w:val="24"/>
        </w:rPr>
        <w:t xml:space="preserve">e 2014 </w:t>
      </w:r>
      <w:r w:rsidR="007D7371">
        <w:rPr>
          <w:szCs w:val="24"/>
        </w:rPr>
        <w:t>o comportamento foi diferente daquele que vinha acontecendo ao longo dos anos, ou seja, inverteu a tendência de queda</w:t>
      </w:r>
      <w:r w:rsidR="00B06EAB" w:rsidRPr="00744CCF">
        <w:rPr>
          <w:szCs w:val="24"/>
        </w:rPr>
        <w:t>.</w:t>
      </w:r>
      <w:r>
        <w:rPr>
          <w:szCs w:val="24"/>
        </w:rPr>
        <w:t xml:space="preserve"> </w:t>
      </w:r>
      <w:r w:rsidR="00F40677">
        <w:rPr>
          <w:szCs w:val="24"/>
        </w:rPr>
        <w:t>Entretanto permanece bem abaixo do valor estabelecido, ou seja, abaixo de 45%.</w:t>
      </w:r>
      <w:r>
        <w:rPr>
          <w:szCs w:val="24"/>
        </w:rPr>
        <w:t xml:space="preserve"> </w:t>
      </w:r>
      <w:r w:rsidR="007D7371">
        <w:rPr>
          <w:szCs w:val="24"/>
        </w:rPr>
        <w:t xml:space="preserve"> </w:t>
      </w:r>
    </w:p>
    <w:p w:rsidR="002303C9" w:rsidRPr="00744CCF" w:rsidRDefault="002303C9" w:rsidP="00B06EAB">
      <w:pPr>
        <w:spacing w:line="380" w:lineRule="exact"/>
        <w:jc w:val="both"/>
        <w:rPr>
          <w:color w:val="FF0000"/>
          <w:szCs w:val="24"/>
        </w:rPr>
      </w:pP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lastRenderedPageBreak/>
        <w:t>IET</w:t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</w:p>
    <w:p w:rsidR="002303C9" w:rsidRPr="00744CCF" w:rsidRDefault="002303C9">
      <w:pPr>
        <w:spacing w:line="360" w:lineRule="auto"/>
        <w:jc w:val="both"/>
        <w:rPr>
          <w:color w:val="FF0000"/>
          <w:szCs w:val="24"/>
        </w:rPr>
      </w:pPr>
      <w:r w:rsidRPr="00744CCF">
        <w:rPr>
          <w:b/>
          <w:bCs/>
          <w:szCs w:val="24"/>
        </w:rPr>
        <w:t>O IET (Indicador de Eficiência na Cobrança das Tarifas)</w:t>
      </w:r>
      <w:r w:rsidR="005E15DF" w:rsidRPr="00744CCF">
        <w:rPr>
          <w:szCs w:val="24"/>
        </w:rPr>
        <w:t xml:space="preserve"> m</w:t>
      </w:r>
      <w:r w:rsidRPr="00744CCF">
        <w:rPr>
          <w:szCs w:val="24"/>
        </w:rPr>
        <w:t>ede a capacidade da organização em controlar o seu fluxo de caixa e o nível de inadimplência. Se as tarifas são pagas dentr</w:t>
      </w:r>
      <w:r w:rsidR="007A4CC2" w:rsidRPr="00744CCF">
        <w:rPr>
          <w:szCs w:val="24"/>
        </w:rPr>
        <w:t xml:space="preserve">o do prazo estipulado ou </w:t>
      </w:r>
      <w:r w:rsidRPr="00744CCF">
        <w:rPr>
          <w:szCs w:val="24"/>
        </w:rPr>
        <w:t>com um mínimo de inadimplência, isso reflete d</w:t>
      </w:r>
      <w:r w:rsidR="007C3BD5" w:rsidRPr="00744CCF">
        <w:rPr>
          <w:szCs w:val="24"/>
        </w:rPr>
        <w:t>iretamente em disponibilidade de</w:t>
      </w:r>
      <w:r w:rsidRPr="00744CCF">
        <w:rPr>
          <w:szCs w:val="24"/>
        </w:rPr>
        <w:t xml:space="preserve"> caixa para saldar comprom</w:t>
      </w:r>
      <w:r w:rsidR="007A4CC2" w:rsidRPr="00744CCF">
        <w:rPr>
          <w:szCs w:val="24"/>
        </w:rPr>
        <w:t xml:space="preserve">issos, realizar compras </w:t>
      </w:r>
      <w:r w:rsidR="00DB0612" w:rsidRPr="00744CCF">
        <w:rPr>
          <w:szCs w:val="24"/>
        </w:rPr>
        <w:t>à</w:t>
      </w:r>
      <w:r w:rsidR="007A4CC2" w:rsidRPr="00744CCF">
        <w:rPr>
          <w:szCs w:val="24"/>
        </w:rPr>
        <w:t xml:space="preserve"> vista obtendo descontos </w:t>
      </w:r>
      <w:r w:rsidR="007C3BD5" w:rsidRPr="00744CCF">
        <w:rPr>
          <w:szCs w:val="24"/>
        </w:rPr>
        <w:t xml:space="preserve">e </w:t>
      </w:r>
      <w:r w:rsidR="007A4CC2" w:rsidRPr="00744CCF">
        <w:rPr>
          <w:szCs w:val="24"/>
        </w:rPr>
        <w:t>reduzindo</w:t>
      </w:r>
      <w:r w:rsidRPr="00744CCF">
        <w:rPr>
          <w:szCs w:val="24"/>
        </w:rPr>
        <w:t xml:space="preserve"> a </w:t>
      </w:r>
      <w:r w:rsidR="007A4CC2" w:rsidRPr="00744CCF">
        <w:rPr>
          <w:szCs w:val="24"/>
        </w:rPr>
        <w:t>necessidade de capital de giro d</w:t>
      </w:r>
      <w:r w:rsidRPr="00744CCF">
        <w:rPr>
          <w:szCs w:val="24"/>
        </w:rPr>
        <w:t>a Organização.</w:t>
      </w:r>
    </w:p>
    <w:p w:rsidR="00D563C8" w:rsidRDefault="00D563C8" w:rsidP="00BF6889">
      <w:pPr>
        <w:spacing w:line="360" w:lineRule="auto"/>
        <w:jc w:val="both"/>
        <w:rPr>
          <w:rFonts w:cs="Arial"/>
          <w:szCs w:val="24"/>
        </w:rPr>
      </w:pPr>
    </w:p>
    <w:p w:rsidR="004969D2" w:rsidRPr="00A7367D" w:rsidRDefault="004969D2" w:rsidP="00BF6889">
      <w:pPr>
        <w:spacing w:line="360" w:lineRule="auto"/>
        <w:jc w:val="both"/>
        <w:rPr>
          <w:rFonts w:cs="Arial"/>
          <w:szCs w:val="24"/>
        </w:rPr>
      </w:pPr>
      <w:r w:rsidRPr="00A7367D">
        <w:rPr>
          <w:rFonts w:cs="Arial"/>
          <w:szCs w:val="24"/>
        </w:rPr>
        <w:t xml:space="preserve">O indicador em </w:t>
      </w:r>
      <w:r>
        <w:rPr>
          <w:rFonts w:cs="Arial"/>
          <w:szCs w:val="24"/>
        </w:rPr>
        <w:t>201</w:t>
      </w:r>
      <w:r w:rsidR="00D70CF9">
        <w:rPr>
          <w:rFonts w:cs="Arial"/>
          <w:szCs w:val="24"/>
        </w:rPr>
        <w:t>4</w:t>
      </w:r>
      <w:r w:rsidRPr="00A7367D">
        <w:rPr>
          <w:rFonts w:cs="Arial"/>
          <w:szCs w:val="24"/>
        </w:rPr>
        <w:t xml:space="preserve"> apresent</w:t>
      </w:r>
      <w:r w:rsidR="004017F2">
        <w:rPr>
          <w:rFonts w:cs="Arial"/>
          <w:szCs w:val="24"/>
        </w:rPr>
        <w:t>ou</w:t>
      </w:r>
      <w:r w:rsidRPr="00A7367D">
        <w:rPr>
          <w:rFonts w:cs="Arial"/>
          <w:szCs w:val="24"/>
        </w:rPr>
        <w:t xml:space="preserve"> um índice de </w:t>
      </w:r>
      <w:r w:rsidR="004017F2">
        <w:rPr>
          <w:rFonts w:cs="Arial"/>
          <w:szCs w:val="24"/>
        </w:rPr>
        <w:t>0</w:t>
      </w:r>
      <w:r w:rsidRPr="00A7367D">
        <w:rPr>
          <w:rFonts w:cs="Arial"/>
          <w:szCs w:val="24"/>
        </w:rPr>
        <w:t>,</w:t>
      </w:r>
      <w:r w:rsidR="00D70CF9">
        <w:rPr>
          <w:rFonts w:cs="Arial"/>
          <w:szCs w:val="24"/>
        </w:rPr>
        <w:t>7</w:t>
      </w:r>
      <w:r w:rsidRPr="00A7367D">
        <w:rPr>
          <w:rFonts w:cs="Arial"/>
          <w:szCs w:val="24"/>
        </w:rPr>
        <w:t xml:space="preserve">% de </w:t>
      </w:r>
      <w:r>
        <w:rPr>
          <w:rFonts w:cs="Arial"/>
          <w:szCs w:val="24"/>
        </w:rPr>
        <w:t>inadimplência</w:t>
      </w:r>
      <w:r w:rsidRPr="00A7367D">
        <w:rPr>
          <w:rFonts w:cs="Arial"/>
          <w:szCs w:val="24"/>
        </w:rPr>
        <w:t xml:space="preserve">. </w:t>
      </w:r>
      <w:r w:rsidR="00D70CF9">
        <w:rPr>
          <w:rFonts w:cs="Arial"/>
          <w:szCs w:val="24"/>
        </w:rPr>
        <w:t xml:space="preserve">Apesar de uma ligeira alta </w:t>
      </w:r>
      <w:r w:rsidR="002642DF" w:rsidRPr="00A7367D">
        <w:rPr>
          <w:rFonts w:cs="Arial"/>
          <w:szCs w:val="24"/>
        </w:rPr>
        <w:t>em relação ao ano anterior</w:t>
      </w:r>
      <w:r w:rsidR="00D70CF9">
        <w:rPr>
          <w:rFonts w:cs="Arial"/>
          <w:szCs w:val="24"/>
        </w:rPr>
        <w:t xml:space="preserve">, percebe-se que se mantém </w:t>
      </w:r>
      <w:r>
        <w:rPr>
          <w:rFonts w:cs="Arial"/>
          <w:szCs w:val="24"/>
        </w:rPr>
        <w:t xml:space="preserve">abaixo </w:t>
      </w:r>
      <w:r w:rsidR="00D70CF9">
        <w:rPr>
          <w:rFonts w:cs="Arial"/>
          <w:szCs w:val="24"/>
        </w:rPr>
        <w:t xml:space="preserve">da média histórica (0,8%) e </w:t>
      </w:r>
      <w:r>
        <w:rPr>
          <w:rFonts w:cs="Arial"/>
          <w:szCs w:val="24"/>
        </w:rPr>
        <w:t xml:space="preserve">dos valores esperados (menor que 3%). </w:t>
      </w:r>
    </w:p>
    <w:p w:rsidR="00D563C8" w:rsidRDefault="00D563C8" w:rsidP="00BF6889">
      <w:pPr>
        <w:spacing w:line="360" w:lineRule="auto"/>
        <w:jc w:val="both"/>
        <w:rPr>
          <w:szCs w:val="24"/>
        </w:rPr>
      </w:pPr>
    </w:p>
    <w:p w:rsidR="002303C9" w:rsidRPr="00744CCF" w:rsidRDefault="002303C9" w:rsidP="00BF688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A </w:t>
      </w:r>
      <w:r w:rsidR="007647D1" w:rsidRPr="00744CCF">
        <w:rPr>
          <w:szCs w:val="24"/>
        </w:rPr>
        <w:t>seguir, vemos a variação do IET</w:t>
      </w:r>
      <w:r w:rsidR="004030DE" w:rsidRPr="00744CCF">
        <w:rPr>
          <w:szCs w:val="24"/>
        </w:rPr>
        <w:t xml:space="preserve"> ao longo dos anos</w:t>
      </w:r>
      <w:r w:rsidR="00391377" w:rsidRPr="00744CCF">
        <w:rPr>
          <w:szCs w:val="24"/>
        </w:rPr>
        <w:t>:</w:t>
      </w:r>
    </w:p>
    <w:p w:rsidR="00A43BBF" w:rsidRPr="00744CCF" w:rsidRDefault="00D70CF9" w:rsidP="007D7371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370332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t>ICVC</w:t>
      </w:r>
    </w:p>
    <w:p w:rsidR="002303C9" w:rsidRPr="00744CCF" w:rsidRDefault="002303C9">
      <w:pPr>
        <w:spacing w:line="400" w:lineRule="exact"/>
        <w:jc w:val="both"/>
        <w:rPr>
          <w:szCs w:val="24"/>
        </w:rPr>
      </w:pPr>
    </w:p>
    <w:p w:rsidR="002303C9" w:rsidRPr="00744CCF" w:rsidRDefault="002303C9" w:rsidP="003A1196">
      <w:pPr>
        <w:spacing w:line="360" w:lineRule="auto"/>
        <w:jc w:val="both"/>
        <w:rPr>
          <w:szCs w:val="24"/>
        </w:rPr>
      </w:pPr>
      <w:r w:rsidRPr="00744CCF">
        <w:rPr>
          <w:b/>
          <w:bCs/>
          <w:szCs w:val="24"/>
        </w:rPr>
        <w:t>O ICVC (Indicador de Impacto do Custo Total no Volume Comercializado)</w:t>
      </w:r>
      <w:r w:rsidR="00E35003" w:rsidRPr="00744CCF">
        <w:rPr>
          <w:szCs w:val="24"/>
        </w:rPr>
        <w:t xml:space="preserve"> é </w:t>
      </w:r>
      <w:r w:rsidRPr="00744CCF">
        <w:rPr>
          <w:szCs w:val="24"/>
        </w:rPr>
        <w:t xml:space="preserve">obtido dividindo-se o Custo Total da Estrutura pelo Volume Total Comercializado na CEASA, </w:t>
      </w:r>
      <w:r w:rsidRPr="00744CCF">
        <w:rPr>
          <w:szCs w:val="24"/>
        </w:rPr>
        <w:lastRenderedPageBreak/>
        <w:t>em R$, no mesmo período. A finalidade é verificar se o aum</w:t>
      </w:r>
      <w:r w:rsidR="00F276B3" w:rsidRPr="00744CCF">
        <w:rPr>
          <w:szCs w:val="24"/>
        </w:rPr>
        <w:t>ento dos custos e despesas está</w:t>
      </w:r>
      <w:r w:rsidRPr="00744CCF">
        <w:rPr>
          <w:szCs w:val="24"/>
        </w:rPr>
        <w:t xml:space="preserve"> se convertendo efetivamente em negócios para aqueles que usufruem sua estrutura.</w:t>
      </w:r>
    </w:p>
    <w:p w:rsidR="002303C9" w:rsidRPr="00744CCF" w:rsidRDefault="002303C9" w:rsidP="003A1196">
      <w:pPr>
        <w:spacing w:line="360" w:lineRule="auto"/>
        <w:jc w:val="both"/>
        <w:rPr>
          <w:color w:val="FF0000"/>
          <w:szCs w:val="24"/>
        </w:rPr>
      </w:pPr>
    </w:p>
    <w:p w:rsidR="00E479A1" w:rsidRPr="00744CCF" w:rsidRDefault="00E479A1" w:rsidP="003A1196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No</w:t>
      </w:r>
      <w:r w:rsidR="004E369E" w:rsidRPr="00744CCF">
        <w:rPr>
          <w:szCs w:val="24"/>
        </w:rPr>
        <w:t>s</w:t>
      </w:r>
      <w:r w:rsidRPr="00744CCF">
        <w:rPr>
          <w:szCs w:val="24"/>
        </w:rPr>
        <w:t xml:space="preserve"> </w:t>
      </w:r>
      <w:r w:rsidR="004E369E" w:rsidRPr="00744CCF">
        <w:rPr>
          <w:szCs w:val="24"/>
        </w:rPr>
        <w:t>últimos</w:t>
      </w:r>
      <w:r w:rsidRPr="00744CCF">
        <w:rPr>
          <w:szCs w:val="24"/>
        </w:rPr>
        <w:t xml:space="preserve"> relatório</w:t>
      </w:r>
      <w:r w:rsidR="004E369E" w:rsidRPr="00744CCF">
        <w:rPr>
          <w:szCs w:val="24"/>
        </w:rPr>
        <w:t>s</w:t>
      </w:r>
      <w:r w:rsidRPr="00744CCF">
        <w:rPr>
          <w:szCs w:val="24"/>
        </w:rPr>
        <w:t>, foi realizado estudo para avaliaç</w:t>
      </w:r>
      <w:r w:rsidR="002C46DC" w:rsidRPr="00744CCF">
        <w:rPr>
          <w:szCs w:val="24"/>
        </w:rPr>
        <w:t>ão dos custos efetivamente atinentes às operações internas, uma vez que a O.S. vem diversificando suas Receitas Operacionais.</w:t>
      </w:r>
    </w:p>
    <w:p w:rsidR="00A12406" w:rsidRPr="00744CCF" w:rsidRDefault="00A12406" w:rsidP="003A1196">
      <w:pPr>
        <w:spacing w:line="360" w:lineRule="auto"/>
        <w:jc w:val="both"/>
        <w:rPr>
          <w:szCs w:val="24"/>
        </w:rPr>
      </w:pPr>
    </w:p>
    <w:p w:rsidR="00ED50C0" w:rsidRPr="00744CCF" w:rsidRDefault="002C46DC" w:rsidP="003A1196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Assim, o cálculo deste indicador considera os custos totais da O.S., subtraídos </w:t>
      </w:r>
      <w:r w:rsidR="00F37142" w:rsidRPr="00744CCF">
        <w:rPr>
          <w:szCs w:val="24"/>
        </w:rPr>
        <w:t>d</w:t>
      </w:r>
      <w:r w:rsidRPr="00744CCF">
        <w:rPr>
          <w:szCs w:val="24"/>
        </w:rPr>
        <w:t>aqueles concernentes a operações externas, pelo fato de não contribuírem para os volumes comercializados.</w:t>
      </w:r>
    </w:p>
    <w:p w:rsidR="00BF6972" w:rsidRPr="00744CCF" w:rsidRDefault="00BF6972" w:rsidP="003A1196">
      <w:pPr>
        <w:spacing w:line="360" w:lineRule="auto"/>
        <w:jc w:val="both"/>
        <w:rPr>
          <w:szCs w:val="24"/>
        </w:rPr>
      </w:pPr>
    </w:p>
    <w:p w:rsidR="009E2686" w:rsidRPr="00744CCF" w:rsidRDefault="00590C4D" w:rsidP="00F0487C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A análise deste indicador denota que mesmo com </w:t>
      </w:r>
      <w:r w:rsidR="00F24E45">
        <w:rPr>
          <w:szCs w:val="24"/>
        </w:rPr>
        <w:t xml:space="preserve">a diminuição </w:t>
      </w:r>
      <w:r>
        <w:rPr>
          <w:szCs w:val="24"/>
        </w:rPr>
        <w:t>d</w:t>
      </w:r>
      <w:r w:rsidR="00F24E45">
        <w:rPr>
          <w:szCs w:val="24"/>
        </w:rPr>
        <w:t>os custos</w:t>
      </w:r>
      <w:r>
        <w:rPr>
          <w:szCs w:val="24"/>
        </w:rPr>
        <w:t xml:space="preserve">, </w:t>
      </w:r>
      <w:r w:rsidR="00F24E45">
        <w:rPr>
          <w:szCs w:val="24"/>
        </w:rPr>
        <w:t xml:space="preserve">não </w:t>
      </w:r>
      <w:r>
        <w:rPr>
          <w:szCs w:val="24"/>
        </w:rPr>
        <w:t xml:space="preserve">houve prejuízo em </w:t>
      </w:r>
      <w:r w:rsidR="00F24E45">
        <w:rPr>
          <w:szCs w:val="24"/>
        </w:rPr>
        <w:t>conversão de negócios</w:t>
      </w:r>
      <w:r>
        <w:rPr>
          <w:szCs w:val="24"/>
        </w:rPr>
        <w:t xml:space="preserve"> uma vez que houve aumento dos volumes comercializados em relação ao mesmo período do ano anterior</w:t>
      </w:r>
      <w:r w:rsidR="00F24E45">
        <w:rPr>
          <w:szCs w:val="24"/>
        </w:rPr>
        <w:t xml:space="preserve">. </w:t>
      </w:r>
    </w:p>
    <w:p w:rsidR="00C52AB4" w:rsidRPr="00744CCF" w:rsidRDefault="00C52AB4" w:rsidP="003A1196">
      <w:pPr>
        <w:spacing w:line="360" w:lineRule="auto"/>
        <w:jc w:val="both"/>
        <w:rPr>
          <w:szCs w:val="24"/>
        </w:rPr>
      </w:pPr>
    </w:p>
    <w:p w:rsidR="002642DF" w:rsidRPr="00F65E82" w:rsidRDefault="002642DF" w:rsidP="002642DF">
      <w:pPr>
        <w:spacing w:line="480" w:lineRule="auto"/>
        <w:jc w:val="both"/>
      </w:pPr>
      <w:r w:rsidRPr="00F65E82">
        <w:t>Comparativo anual de volumes comercializados (R$/</w:t>
      </w:r>
      <w:r w:rsidR="00DB0612" w:rsidRPr="00F65E82">
        <w:t>Ton.</w:t>
      </w:r>
      <w:r w:rsidRPr="00F65E82">
        <w:t>)</w:t>
      </w:r>
    </w:p>
    <w:p w:rsidR="00D563C8" w:rsidRDefault="00D563C8">
      <w:pPr>
        <w:rPr>
          <w:szCs w:val="24"/>
        </w:rPr>
      </w:pPr>
    </w:p>
    <w:p w:rsidR="002642DF" w:rsidRDefault="00D26E9F" w:rsidP="002642DF">
      <w:pPr>
        <w:jc w:val="center"/>
        <w:rPr>
          <w:szCs w:val="24"/>
        </w:rPr>
      </w:pPr>
      <w:r w:rsidRPr="00D26E9F">
        <w:rPr>
          <w:noProof/>
        </w:rPr>
        <w:drawing>
          <wp:inline distT="0" distB="0" distL="0" distR="0">
            <wp:extent cx="3244215" cy="850900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DF" w:rsidRDefault="002642DF">
      <w:pPr>
        <w:rPr>
          <w:szCs w:val="24"/>
        </w:rPr>
      </w:pPr>
    </w:p>
    <w:p w:rsidR="002642DF" w:rsidRDefault="002642DF" w:rsidP="003A1196">
      <w:pPr>
        <w:spacing w:line="360" w:lineRule="auto"/>
        <w:jc w:val="both"/>
        <w:rPr>
          <w:szCs w:val="24"/>
        </w:rPr>
      </w:pPr>
    </w:p>
    <w:p w:rsidR="00D26E9F" w:rsidRDefault="00D26E9F" w:rsidP="003A1196">
      <w:pPr>
        <w:spacing w:line="360" w:lineRule="auto"/>
        <w:jc w:val="both"/>
        <w:rPr>
          <w:szCs w:val="24"/>
        </w:rPr>
      </w:pPr>
      <w:r>
        <w:rPr>
          <w:szCs w:val="24"/>
        </w:rPr>
        <w:t>No ano de 2014 o CEASA-OS alcançou o mais volume de comercialização dos últimos cinco anos, conforme quadro abaixo.</w:t>
      </w:r>
    </w:p>
    <w:p w:rsidR="00D26E9F" w:rsidRDefault="00D26E9F" w:rsidP="00D26E9F">
      <w:pPr>
        <w:spacing w:line="360" w:lineRule="auto"/>
        <w:jc w:val="center"/>
        <w:rPr>
          <w:szCs w:val="24"/>
        </w:rPr>
      </w:pPr>
      <w:r w:rsidRPr="00D26E9F">
        <w:rPr>
          <w:noProof/>
        </w:rPr>
        <w:drawing>
          <wp:inline distT="0" distB="0" distL="0" distR="0">
            <wp:extent cx="1868805" cy="9779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9F" w:rsidRDefault="00D26E9F" w:rsidP="00D26E9F">
      <w:pPr>
        <w:spacing w:line="360" w:lineRule="auto"/>
        <w:jc w:val="center"/>
        <w:rPr>
          <w:szCs w:val="24"/>
        </w:rPr>
      </w:pPr>
    </w:p>
    <w:p w:rsidR="009733BA" w:rsidRDefault="00C52AB4" w:rsidP="003A1196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No quadr</w:t>
      </w:r>
      <w:r w:rsidR="00D57EAC" w:rsidRPr="00744CCF">
        <w:rPr>
          <w:szCs w:val="24"/>
        </w:rPr>
        <w:t>o abaixo, é possível verificar o aumento</w:t>
      </w:r>
      <w:r w:rsidRPr="00744CCF">
        <w:rPr>
          <w:szCs w:val="24"/>
        </w:rPr>
        <w:t xml:space="preserve"> do índice</w:t>
      </w:r>
      <w:r w:rsidR="007B0DC8" w:rsidRPr="00744CCF">
        <w:rPr>
          <w:szCs w:val="24"/>
        </w:rPr>
        <w:t xml:space="preserve"> ao longo dos anos</w:t>
      </w:r>
      <w:r w:rsidRPr="00744CCF">
        <w:rPr>
          <w:szCs w:val="24"/>
        </w:rPr>
        <w:t>:</w:t>
      </w:r>
    </w:p>
    <w:p w:rsidR="009733BA" w:rsidRDefault="009733BA" w:rsidP="003A1196">
      <w:pPr>
        <w:spacing w:line="360" w:lineRule="auto"/>
        <w:jc w:val="both"/>
        <w:rPr>
          <w:szCs w:val="24"/>
        </w:rPr>
      </w:pPr>
    </w:p>
    <w:p w:rsidR="00324006" w:rsidRPr="00744CCF" w:rsidRDefault="00D26E9F" w:rsidP="00D1048A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370332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820" w:rsidRPr="00744CCF" w:rsidRDefault="00390820" w:rsidP="00117DB4">
      <w:pPr>
        <w:spacing w:line="360" w:lineRule="auto"/>
        <w:jc w:val="center"/>
        <w:rPr>
          <w:szCs w:val="24"/>
        </w:rPr>
      </w:pPr>
    </w:p>
    <w:p w:rsidR="00F83263" w:rsidRPr="004D3DD5" w:rsidRDefault="00F83263" w:rsidP="00F83263">
      <w:pPr>
        <w:pStyle w:val="Ttulo"/>
        <w:numPr>
          <w:ilvl w:val="1"/>
          <w:numId w:val="8"/>
        </w:numPr>
        <w:jc w:val="both"/>
        <w:rPr>
          <w:color w:val="000000" w:themeColor="text1"/>
        </w:rPr>
      </w:pPr>
      <w:r w:rsidRPr="004D3DD5">
        <w:rPr>
          <w:color w:val="000000" w:themeColor="text1"/>
        </w:rPr>
        <w:t>I</w:t>
      </w:r>
      <w:r w:rsidR="00E24E15" w:rsidRPr="004D3DD5">
        <w:rPr>
          <w:color w:val="000000" w:themeColor="text1"/>
        </w:rPr>
        <w:t>NDICADORES DE TENDÊNCIA</w:t>
      </w:r>
      <w:r w:rsidR="004D3DD5">
        <w:rPr>
          <w:color w:val="000000" w:themeColor="text1"/>
        </w:rPr>
        <w:t xml:space="preserve"> </w:t>
      </w:r>
    </w:p>
    <w:p w:rsidR="00A30F03" w:rsidRDefault="00A30F03" w:rsidP="00A30F03">
      <w:pPr>
        <w:spacing w:line="360" w:lineRule="auto"/>
        <w:jc w:val="both"/>
        <w:rPr>
          <w:szCs w:val="24"/>
        </w:rPr>
      </w:pPr>
    </w:p>
    <w:p w:rsidR="00611843" w:rsidRPr="00290733" w:rsidRDefault="00611843" w:rsidP="00611843">
      <w:pPr>
        <w:spacing w:line="400" w:lineRule="exact"/>
        <w:jc w:val="both"/>
      </w:pPr>
      <w:r w:rsidRPr="00290733">
        <w:t xml:space="preserve">Os indicadores abordados anteriormente refletem o estado atual da O.S. em relação às metas estabelecidas, sendo chamados “indicadores de posição”. Os indicadores </w:t>
      </w:r>
      <w:r w:rsidRPr="00290733">
        <w:rPr>
          <w:b/>
          <w:bCs/>
        </w:rPr>
        <w:t>IICE</w:t>
      </w:r>
      <w:r w:rsidRPr="00290733">
        <w:t xml:space="preserve"> (Índice de Insatisfação do Cliente Externo), </w:t>
      </w:r>
      <w:r w:rsidRPr="00290733">
        <w:rPr>
          <w:b/>
          <w:bCs/>
        </w:rPr>
        <w:t>ISCI</w:t>
      </w:r>
      <w:r w:rsidRPr="00290733">
        <w:t xml:space="preserve"> (Índice de Satisfação do Cliente Interno) e </w:t>
      </w:r>
      <w:r w:rsidRPr="00290733">
        <w:rPr>
          <w:b/>
          <w:bCs/>
        </w:rPr>
        <w:t>IIOS</w:t>
      </w:r>
      <w:r w:rsidRPr="00290733">
        <w:t xml:space="preserve"> (Índice da Imagem da Organização perante a Sociedade) refletem aspectos mais qualitativos e que indicam tendências de comportamento em função de ações presentes.</w:t>
      </w:r>
    </w:p>
    <w:p w:rsidR="00611843" w:rsidRPr="00290733" w:rsidRDefault="00611843" w:rsidP="00611843">
      <w:pPr>
        <w:spacing w:line="360" w:lineRule="auto"/>
        <w:jc w:val="both"/>
      </w:pPr>
    </w:p>
    <w:p w:rsidR="00611843" w:rsidRPr="00290733" w:rsidRDefault="00611843" w:rsidP="00611843">
      <w:pPr>
        <w:spacing w:line="360" w:lineRule="auto"/>
        <w:jc w:val="both"/>
      </w:pPr>
      <w:r w:rsidRPr="00290733">
        <w:t xml:space="preserve">Embora não afetem o </w:t>
      </w:r>
      <w:r w:rsidRPr="00290733">
        <w:rPr>
          <w:i/>
          <w:iCs/>
        </w:rPr>
        <w:t>score</w:t>
      </w:r>
      <w:r w:rsidRPr="00290733">
        <w:t xml:space="preserve"> total, esses indicadores são extremamente importantes no que diz respeito ao direcionamento das ações a serem priorizadas pela O.S. As pesquisas destacam pontos importantes que podem ser trabalhados no sentido de fortalecer a Organização, atribuindo-lhe maior competitividade.</w:t>
      </w:r>
    </w:p>
    <w:p w:rsidR="008F19EA" w:rsidRDefault="008F19EA">
      <w:r>
        <w:br w:type="page"/>
      </w:r>
    </w:p>
    <w:p w:rsidR="00611843" w:rsidRDefault="00611843" w:rsidP="00611843">
      <w:pPr>
        <w:spacing w:line="360" w:lineRule="auto"/>
        <w:jc w:val="both"/>
      </w:pPr>
      <w:r w:rsidRPr="00290733">
        <w:lastRenderedPageBreak/>
        <w:t xml:space="preserve">Conforme se pode perceber no quadro a </w:t>
      </w:r>
      <w:r>
        <w:t>seguir, obteve-se no ano de 201</w:t>
      </w:r>
      <w:r w:rsidR="00EF0226">
        <w:t>4</w:t>
      </w:r>
      <w:r w:rsidRPr="00290733">
        <w:t xml:space="preserve"> uma variação nos Índices Interno e Externo, assim como no indicador de Imagem Perante a Sociedade.</w:t>
      </w:r>
    </w:p>
    <w:p w:rsidR="00611843" w:rsidRDefault="00611843" w:rsidP="00611843">
      <w:pPr>
        <w:spacing w:line="360" w:lineRule="auto"/>
        <w:jc w:val="both"/>
      </w:pPr>
    </w:p>
    <w:p w:rsidR="00611843" w:rsidRPr="00290733" w:rsidRDefault="004D3DD5" w:rsidP="00611843">
      <w:pPr>
        <w:spacing w:line="360" w:lineRule="auto"/>
        <w:jc w:val="center"/>
      </w:pPr>
      <w:r w:rsidRPr="004D3DD5">
        <w:rPr>
          <w:noProof/>
        </w:rPr>
        <w:drawing>
          <wp:inline distT="0" distB="0" distL="0" distR="0">
            <wp:extent cx="5553075" cy="2633596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67" cy="263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Pr="00290733" w:rsidRDefault="00611843" w:rsidP="00611843">
      <w:pPr>
        <w:spacing w:line="360" w:lineRule="auto"/>
        <w:jc w:val="both"/>
        <w:rPr>
          <w:rFonts w:cs="Arial"/>
          <w:sz w:val="22"/>
          <w:szCs w:val="24"/>
        </w:rPr>
      </w:pPr>
    </w:p>
    <w:p w:rsidR="00611843" w:rsidRPr="001F2AC2" w:rsidRDefault="00611843" w:rsidP="00611843">
      <w:pPr>
        <w:spacing w:line="480" w:lineRule="auto"/>
        <w:jc w:val="both"/>
      </w:pPr>
      <w:r w:rsidRPr="001F2AC2">
        <w:t>A seguir, serão comentados esses resultados.</w:t>
      </w:r>
    </w:p>
    <w:p w:rsidR="009476A0" w:rsidRDefault="009476A0" w:rsidP="00611843">
      <w:pPr>
        <w:spacing w:line="360" w:lineRule="auto"/>
        <w:jc w:val="both"/>
      </w:pPr>
    </w:p>
    <w:p w:rsidR="00611843" w:rsidRPr="001F2AC2" w:rsidRDefault="00611843" w:rsidP="00611843">
      <w:pPr>
        <w:spacing w:line="360" w:lineRule="auto"/>
        <w:jc w:val="both"/>
      </w:pPr>
      <w:r w:rsidRPr="001F2AC2">
        <w:t xml:space="preserve">O </w:t>
      </w:r>
      <w:r w:rsidRPr="001F2AC2">
        <w:rPr>
          <w:b/>
          <w:bCs/>
        </w:rPr>
        <w:t>IICE</w:t>
      </w:r>
      <w:r w:rsidRPr="001F2AC2">
        <w:t xml:space="preserve"> (Índice de Insatisfação do Cliente Externo) foi obtido através de pesquisa realizada pela </w:t>
      </w:r>
      <w:r w:rsidR="004D4CAF">
        <w:t>EXATTA</w:t>
      </w:r>
      <w:r w:rsidRPr="001F2AC2">
        <w:t>, buscando refletir o sentimento de comerciantes e clientes, ambos usuários do complexo comercial ofertado pela CEASA. Maiores detalhes podem ser obtidos junto ao Relatório Final de Pesquisa.</w:t>
      </w:r>
    </w:p>
    <w:p w:rsidR="00611843" w:rsidRPr="001F2AC2" w:rsidRDefault="00611843" w:rsidP="00611843">
      <w:pPr>
        <w:spacing w:line="360" w:lineRule="auto"/>
        <w:jc w:val="both"/>
      </w:pPr>
    </w:p>
    <w:p w:rsidR="00611843" w:rsidRPr="001F2AC2" w:rsidRDefault="00611843" w:rsidP="00611843">
      <w:pPr>
        <w:spacing w:line="360" w:lineRule="auto"/>
        <w:jc w:val="both"/>
        <w:rPr>
          <w:i/>
          <w:iCs/>
        </w:rPr>
      </w:pPr>
      <w:r w:rsidRPr="001F2AC2">
        <w:t xml:space="preserve">Para aferição do indicador, foram agrupadas as questões pesquisadas de forma a representar a percepção desse público em relação a 04 categorias básicas de satisfação: </w:t>
      </w:r>
      <w:r w:rsidRPr="001F2AC2">
        <w:rPr>
          <w:i/>
          <w:iCs/>
        </w:rPr>
        <w:t>limpeza, segurança, comodidade e conveniência.</w:t>
      </w:r>
    </w:p>
    <w:p w:rsidR="00611843" w:rsidRPr="001F2AC2" w:rsidRDefault="00611843" w:rsidP="00611843">
      <w:pPr>
        <w:spacing w:line="360" w:lineRule="auto"/>
        <w:jc w:val="both"/>
      </w:pPr>
    </w:p>
    <w:p w:rsidR="00611843" w:rsidRPr="001F2AC2" w:rsidRDefault="00611843" w:rsidP="00611843">
      <w:pPr>
        <w:spacing w:line="360" w:lineRule="auto"/>
        <w:jc w:val="both"/>
      </w:pPr>
      <w:r w:rsidRPr="001F2AC2">
        <w:t>A seguir podemos ver os 13 itens iniciais e sua pontuação em cada segmento:</w:t>
      </w:r>
    </w:p>
    <w:p w:rsidR="00611843" w:rsidRDefault="00611843" w:rsidP="00611843">
      <w:pPr>
        <w:spacing w:line="360" w:lineRule="auto"/>
        <w:jc w:val="both"/>
        <w:rPr>
          <w:rFonts w:cs="Arial"/>
          <w:szCs w:val="24"/>
        </w:rPr>
      </w:pPr>
    </w:p>
    <w:p w:rsidR="00611843" w:rsidRDefault="004D4CAF" w:rsidP="00611843">
      <w:pPr>
        <w:spacing w:line="360" w:lineRule="auto"/>
        <w:jc w:val="center"/>
        <w:rPr>
          <w:szCs w:val="24"/>
        </w:rPr>
      </w:pPr>
      <w:r w:rsidRPr="004D4CAF">
        <w:rPr>
          <w:noProof/>
        </w:rPr>
        <w:lastRenderedPageBreak/>
        <w:drawing>
          <wp:inline distT="0" distB="0" distL="0" distR="0">
            <wp:extent cx="3570136" cy="2521412"/>
            <wp:effectExtent l="0" t="0" r="0" b="0"/>
            <wp:docPr id="259" name="Imagem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188" cy="252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Default="00611843" w:rsidP="00611843">
      <w:pPr>
        <w:spacing w:line="360" w:lineRule="auto"/>
        <w:jc w:val="center"/>
        <w:rPr>
          <w:szCs w:val="24"/>
        </w:rPr>
      </w:pPr>
    </w:p>
    <w:p w:rsidR="00611843" w:rsidRPr="001F2AC2" w:rsidRDefault="00611843" w:rsidP="00611843">
      <w:pPr>
        <w:spacing w:line="360" w:lineRule="auto"/>
        <w:jc w:val="both"/>
      </w:pPr>
      <w:r w:rsidRPr="001F2AC2">
        <w:t>O foco principal foi o de verificar em quais quesitos o público apresenta maior insatisfação para que esses itens possam ser mais bem trabalhados pela CEASA.</w:t>
      </w:r>
      <w:r w:rsidR="009476A0">
        <w:t xml:space="preserve"> </w:t>
      </w:r>
      <w:r>
        <w:t>Na pesquisa de 201</w:t>
      </w:r>
      <w:r w:rsidR="004D4CAF">
        <w:t>4</w:t>
      </w:r>
      <w:r w:rsidRPr="001F2AC2">
        <w:t xml:space="preserve">, percebe-se maior incidência de insatisfação com o </w:t>
      </w:r>
      <w:r w:rsidRPr="001F2AC2">
        <w:rPr>
          <w:b/>
        </w:rPr>
        <w:t>trânsito interno</w:t>
      </w:r>
      <w:r w:rsidRPr="001F2AC2">
        <w:t>, repetindo-se o que ocorreu nos anos anteriores.</w:t>
      </w:r>
    </w:p>
    <w:p w:rsidR="00611843" w:rsidRPr="001F2AC2" w:rsidRDefault="00611843" w:rsidP="00611843">
      <w:pPr>
        <w:spacing w:line="360" w:lineRule="auto"/>
        <w:jc w:val="both"/>
      </w:pPr>
    </w:p>
    <w:p w:rsidR="00611843" w:rsidRPr="001F2AC2" w:rsidRDefault="00611843" w:rsidP="00611843">
      <w:pPr>
        <w:spacing w:line="360" w:lineRule="auto"/>
        <w:jc w:val="both"/>
      </w:pPr>
      <w:r w:rsidRPr="001F2AC2">
        <w:t xml:space="preserve">Como meta, foi estabelecido que a média das categorias e a pontuação obtida na avaliação geral da pesquisa deveria ser </w:t>
      </w:r>
      <w:r w:rsidRPr="001F2AC2">
        <w:rPr>
          <w:b/>
          <w:bCs/>
        </w:rPr>
        <w:t>inferior a 30%</w:t>
      </w:r>
      <w:r w:rsidRPr="001F2AC2">
        <w:t xml:space="preserve">, considerando que os níveis de </w:t>
      </w:r>
      <w:r w:rsidRPr="001F2AC2">
        <w:rPr>
          <w:b/>
          <w:bCs/>
        </w:rPr>
        <w:t>insatisfação</w:t>
      </w:r>
      <w:r w:rsidRPr="001F2AC2">
        <w:t xml:space="preserve"> de ambos os públicos.</w:t>
      </w:r>
    </w:p>
    <w:p w:rsidR="00611843" w:rsidRDefault="00611843" w:rsidP="00611843">
      <w:pPr>
        <w:spacing w:line="360" w:lineRule="auto"/>
        <w:jc w:val="both"/>
      </w:pPr>
    </w:p>
    <w:p w:rsidR="00611843" w:rsidRPr="001F2AC2" w:rsidRDefault="00611843" w:rsidP="00611843">
      <w:pPr>
        <w:spacing w:line="360" w:lineRule="auto"/>
        <w:jc w:val="both"/>
      </w:pPr>
      <w:r w:rsidRPr="001F2AC2">
        <w:t>Cabe reforçar que foi utilizado para a média geral das categorias o valor ponderado entre comerciantes e clientes, em função do número de questionários aplicados, associando-se à média obtida na avaliação geral da O.S.</w:t>
      </w:r>
      <w:r w:rsidR="009476A0">
        <w:t xml:space="preserve"> </w:t>
      </w:r>
      <w:r w:rsidRPr="001F2AC2">
        <w:t>Assim, foram obtidos os seguintes valores:</w:t>
      </w:r>
    </w:p>
    <w:p w:rsidR="002642DF" w:rsidRDefault="002642DF">
      <w:pPr>
        <w:rPr>
          <w:b/>
          <w:szCs w:val="24"/>
        </w:rPr>
      </w:pPr>
    </w:p>
    <w:p w:rsidR="00611843" w:rsidRDefault="00611843" w:rsidP="00611843">
      <w:pPr>
        <w:spacing w:line="360" w:lineRule="auto"/>
        <w:rPr>
          <w:b/>
          <w:szCs w:val="24"/>
        </w:rPr>
      </w:pPr>
      <w:r w:rsidRPr="00FA33E6">
        <w:rPr>
          <w:b/>
          <w:szCs w:val="24"/>
        </w:rPr>
        <w:t xml:space="preserve">Índice de Insatisfação do Cliente </w:t>
      </w:r>
      <w:r>
        <w:rPr>
          <w:b/>
          <w:szCs w:val="24"/>
        </w:rPr>
        <w:t>E</w:t>
      </w:r>
      <w:r w:rsidRPr="00FA33E6">
        <w:rPr>
          <w:b/>
          <w:szCs w:val="24"/>
        </w:rPr>
        <w:t>xtern</w:t>
      </w:r>
      <w:r>
        <w:rPr>
          <w:b/>
          <w:szCs w:val="24"/>
        </w:rPr>
        <w:t>o</w:t>
      </w:r>
    </w:p>
    <w:p w:rsidR="00611843" w:rsidRDefault="004D4CAF" w:rsidP="00611843">
      <w:pPr>
        <w:spacing w:line="360" w:lineRule="auto"/>
        <w:jc w:val="center"/>
        <w:rPr>
          <w:szCs w:val="24"/>
        </w:rPr>
      </w:pPr>
      <w:r w:rsidRPr="004D4CAF">
        <w:rPr>
          <w:noProof/>
        </w:rPr>
        <w:drawing>
          <wp:inline distT="0" distB="0" distL="0" distR="0">
            <wp:extent cx="3275965" cy="1654175"/>
            <wp:effectExtent l="0" t="0" r="635" b="3175"/>
            <wp:docPr id="264" name="Image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Default="00611843" w:rsidP="00611843">
      <w:pPr>
        <w:spacing w:line="360" w:lineRule="auto"/>
        <w:jc w:val="center"/>
        <w:rPr>
          <w:szCs w:val="24"/>
        </w:rPr>
      </w:pPr>
    </w:p>
    <w:p w:rsidR="004D4CAF" w:rsidRDefault="004D4CAF">
      <w:r>
        <w:lastRenderedPageBreak/>
        <w:br w:type="page"/>
      </w:r>
    </w:p>
    <w:p w:rsidR="00611843" w:rsidRDefault="00611843" w:rsidP="00611843">
      <w:pPr>
        <w:spacing w:line="360" w:lineRule="auto"/>
        <w:jc w:val="both"/>
      </w:pPr>
      <w:r w:rsidRPr="001F2AC2">
        <w:lastRenderedPageBreak/>
        <w:t xml:space="preserve">E o comparativo de </w:t>
      </w:r>
      <w:smartTag w:uri="urn:schemas-microsoft-com:office:smarttags" w:element="metricconverter">
        <w:smartTagPr>
          <w:attr w:name="ProductID" w:val="2004 a"/>
        </w:smartTagPr>
        <w:r w:rsidRPr="001F2AC2">
          <w:t>2004 a</w:t>
        </w:r>
      </w:smartTag>
      <w:r>
        <w:t xml:space="preserve"> 201</w:t>
      </w:r>
      <w:r w:rsidR="008F19EA">
        <w:t>3</w:t>
      </w:r>
      <w:r w:rsidRPr="001F2AC2">
        <w:t>:</w:t>
      </w:r>
    </w:p>
    <w:p w:rsidR="00611843" w:rsidRDefault="0038371F" w:rsidP="00611843">
      <w:pPr>
        <w:spacing w:line="360" w:lineRule="auto"/>
        <w:jc w:val="both"/>
      </w:pPr>
      <w:r w:rsidRPr="0038371F">
        <w:rPr>
          <w:noProof/>
        </w:rPr>
        <w:drawing>
          <wp:inline distT="0" distB="0" distL="0" distR="0">
            <wp:extent cx="5940425" cy="1291200"/>
            <wp:effectExtent l="0" t="0" r="3175" b="4445"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Default="00611843" w:rsidP="00611843">
      <w:pPr>
        <w:spacing w:line="360" w:lineRule="auto"/>
        <w:jc w:val="both"/>
      </w:pPr>
    </w:p>
    <w:p w:rsidR="00611843" w:rsidRDefault="00611843" w:rsidP="00611843">
      <w:pPr>
        <w:spacing w:line="360" w:lineRule="auto"/>
        <w:jc w:val="both"/>
      </w:pPr>
      <w:r w:rsidRPr="008A4E99">
        <w:t xml:space="preserve">Desta forma, o valor </w:t>
      </w:r>
      <w:r>
        <w:t>final ficou em 1</w:t>
      </w:r>
      <w:r w:rsidR="0038371F">
        <w:t>0</w:t>
      </w:r>
      <w:r>
        <w:t>,</w:t>
      </w:r>
      <w:r w:rsidR="0038371F">
        <w:t>90</w:t>
      </w:r>
      <w:r w:rsidRPr="008A4E99">
        <w:t>% d</w:t>
      </w:r>
      <w:r>
        <w:t xml:space="preserve">e insatisfação, </w:t>
      </w:r>
      <w:r w:rsidR="002642DF">
        <w:t xml:space="preserve">menor </w:t>
      </w:r>
      <w:r>
        <w:t xml:space="preserve">percentual </w:t>
      </w:r>
      <w:r w:rsidR="002642DF">
        <w:t>desde o início da pesquisa</w:t>
      </w:r>
      <w:r>
        <w:t>, mostrando que os esforços realizados pela administração da CEASA-PE/OS vem sendo reconhecidos por clientes e permissionários.</w:t>
      </w:r>
    </w:p>
    <w:p w:rsidR="00611843" w:rsidRPr="008A4E99" w:rsidRDefault="00611843" w:rsidP="00611843">
      <w:pPr>
        <w:spacing w:line="360" w:lineRule="auto"/>
        <w:jc w:val="both"/>
      </w:pPr>
    </w:p>
    <w:p w:rsidR="00611843" w:rsidRDefault="00611843" w:rsidP="00611843">
      <w:pPr>
        <w:spacing w:line="360" w:lineRule="auto"/>
        <w:jc w:val="both"/>
      </w:pPr>
      <w:r w:rsidRPr="008A4E99">
        <w:t xml:space="preserve">O </w:t>
      </w:r>
      <w:r w:rsidRPr="008A4E99">
        <w:rPr>
          <w:b/>
          <w:bCs/>
        </w:rPr>
        <w:t>ISCI</w:t>
      </w:r>
      <w:r w:rsidRPr="008A4E99">
        <w:t xml:space="preserve"> (Índice de Satisfação do Cliente Interno) é avaliado considerando a mé</w:t>
      </w:r>
      <w:r w:rsidR="00AA5E62">
        <w:t>dia de satisfação acima de 70</w:t>
      </w:r>
      <w:r>
        <w:t>%.</w:t>
      </w:r>
      <w:r w:rsidRPr="00AA2342">
        <w:t xml:space="preserve"> </w:t>
      </w:r>
      <w:r w:rsidRPr="0078387D">
        <w:t>As quatro categorias refletem o impacto de diversos fatores na satisfação dos colaboradores, criteriosamente selecionados e coletados através de pesquisa por amostragem aleatória, realizada pela VH CONSULTORES.</w:t>
      </w:r>
    </w:p>
    <w:p w:rsidR="00611843" w:rsidRDefault="00611843" w:rsidP="00611843">
      <w:pPr>
        <w:spacing w:line="360" w:lineRule="auto"/>
        <w:jc w:val="both"/>
      </w:pPr>
    </w:p>
    <w:p w:rsidR="00611843" w:rsidRPr="008A4E99" w:rsidRDefault="00AA5E62" w:rsidP="00611843">
      <w:pPr>
        <w:spacing w:line="360" w:lineRule="auto"/>
        <w:jc w:val="center"/>
      </w:pPr>
      <w:r w:rsidRPr="00AA5E62">
        <w:rPr>
          <w:noProof/>
        </w:rPr>
        <w:drawing>
          <wp:inline distT="0" distB="0" distL="0" distR="0">
            <wp:extent cx="2457450" cy="1279499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80" cy="129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Default="00611843" w:rsidP="00611843">
      <w:pPr>
        <w:spacing w:line="360" w:lineRule="auto"/>
        <w:jc w:val="both"/>
        <w:rPr>
          <w:sz w:val="28"/>
        </w:rPr>
      </w:pPr>
    </w:p>
    <w:p w:rsidR="00611843" w:rsidRPr="0078387D" w:rsidRDefault="00611843" w:rsidP="00611843">
      <w:pPr>
        <w:spacing w:line="360" w:lineRule="auto"/>
        <w:jc w:val="both"/>
      </w:pPr>
      <w:r w:rsidRPr="0078387D">
        <w:t xml:space="preserve">A seguir, o comparativo </w:t>
      </w:r>
      <w:r>
        <w:t>20</w:t>
      </w:r>
      <w:r w:rsidR="00C64225">
        <w:t>04</w:t>
      </w:r>
      <w:r w:rsidRPr="0078387D">
        <w:t>/20</w:t>
      </w:r>
      <w:r w:rsidR="00C64225">
        <w:t>1</w:t>
      </w:r>
      <w:r w:rsidR="0038371F">
        <w:t>4</w:t>
      </w:r>
      <w:r w:rsidRPr="0078387D">
        <w:t>:</w:t>
      </w:r>
    </w:p>
    <w:p w:rsidR="00611843" w:rsidRDefault="00AA5E62" w:rsidP="00AA5E62">
      <w:pPr>
        <w:spacing w:line="360" w:lineRule="auto"/>
        <w:ind w:left="-851"/>
        <w:jc w:val="center"/>
        <w:rPr>
          <w:sz w:val="28"/>
        </w:rPr>
      </w:pPr>
      <w:r w:rsidRPr="00AA5E62">
        <w:rPr>
          <w:noProof/>
        </w:rPr>
        <w:drawing>
          <wp:inline distT="0" distB="0" distL="0" distR="0">
            <wp:extent cx="6842695" cy="8572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624" cy="8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Default="00611843" w:rsidP="00611843">
      <w:pPr>
        <w:spacing w:line="360" w:lineRule="auto"/>
        <w:jc w:val="center"/>
        <w:rPr>
          <w:rFonts w:cs="Arial"/>
          <w:szCs w:val="24"/>
        </w:rPr>
      </w:pPr>
    </w:p>
    <w:p w:rsidR="00611843" w:rsidRPr="00432181" w:rsidRDefault="00611843" w:rsidP="00611843">
      <w:pPr>
        <w:spacing w:line="360" w:lineRule="auto"/>
        <w:jc w:val="both"/>
      </w:pPr>
      <w:r>
        <w:t xml:space="preserve">Percebe-se que </w:t>
      </w:r>
      <w:r w:rsidR="00AA5E62">
        <w:t>o indicador em 2014 praticamente repetiu 2013</w:t>
      </w:r>
      <w:r>
        <w:t xml:space="preserve">. </w:t>
      </w:r>
    </w:p>
    <w:p w:rsidR="00611843" w:rsidRDefault="00611843" w:rsidP="00611843">
      <w:pPr>
        <w:spacing w:line="360" w:lineRule="auto"/>
        <w:jc w:val="both"/>
      </w:pPr>
    </w:p>
    <w:p w:rsidR="00611843" w:rsidRPr="00432181" w:rsidRDefault="00611843" w:rsidP="00611843">
      <w:pPr>
        <w:spacing w:line="360" w:lineRule="auto"/>
        <w:jc w:val="both"/>
      </w:pPr>
      <w:r w:rsidRPr="00432181">
        <w:t xml:space="preserve">É fato que algumas mudanças internas entre setores e postos de comando </w:t>
      </w:r>
      <w:r>
        <w:t>reflet</w:t>
      </w:r>
      <w:r w:rsidR="000038FE">
        <w:t>em</w:t>
      </w:r>
      <w:r w:rsidRPr="00432181">
        <w:t xml:space="preserve"> nos resultados desta pesquisa. Maiores detalhes sobre resultados da pesquisa encontram-se destacadas no Relatório entregue </w:t>
      </w:r>
      <w:r w:rsidR="002642DF">
        <w:t>à</w:t>
      </w:r>
      <w:r w:rsidRPr="00432181">
        <w:t xml:space="preserve"> diretoria da CEASA/PE-O.S.</w:t>
      </w:r>
    </w:p>
    <w:p w:rsidR="00611843" w:rsidRPr="00432181" w:rsidRDefault="00611843" w:rsidP="00611843">
      <w:pPr>
        <w:spacing w:line="360" w:lineRule="auto"/>
        <w:jc w:val="both"/>
      </w:pPr>
    </w:p>
    <w:p w:rsidR="00611843" w:rsidRPr="00432181" w:rsidRDefault="00611843" w:rsidP="00611843">
      <w:pPr>
        <w:spacing w:line="360" w:lineRule="auto"/>
        <w:jc w:val="both"/>
      </w:pPr>
      <w:r w:rsidRPr="00432181">
        <w:t xml:space="preserve">Em relação ao </w:t>
      </w:r>
      <w:r w:rsidRPr="00432181">
        <w:rPr>
          <w:b/>
          <w:bCs/>
        </w:rPr>
        <w:t xml:space="preserve">IIOS </w:t>
      </w:r>
      <w:r w:rsidRPr="00432181">
        <w:t>(Índice da Imagem da Organização perante a Sociedade), o mesmo é obtido dividindo-se o total de notícias favoráveis na mídia impressa local pelo total de notícias encontradas. Durante o perío</w:t>
      </w:r>
      <w:r>
        <w:t>do analisado, foram coletadas 1</w:t>
      </w:r>
      <w:r w:rsidR="0038371F">
        <w:t>8</w:t>
      </w:r>
      <w:r w:rsidRPr="00432181">
        <w:t xml:space="preserve"> referências da CEASA-PE/O.S</w:t>
      </w:r>
      <w:r w:rsidR="0038371F">
        <w:t xml:space="preserve"> (contra 17 no ano de 2013)</w:t>
      </w:r>
      <w:r>
        <w:t xml:space="preserve"> na mídia impressa, sendo que </w:t>
      </w:r>
      <w:r w:rsidR="00EB16E8">
        <w:t>08</w:t>
      </w:r>
      <w:r w:rsidR="000038FE">
        <w:t xml:space="preserve"> de matérias informativas, </w:t>
      </w:r>
      <w:r w:rsidR="00EB16E8">
        <w:t>08</w:t>
      </w:r>
      <w:r w:rsidR="000038FE">
        <w:t xml:space="preserve"> matéria desfavorável</w:t>
      </w:r>
      <w:r w:rsidR="00EB16E8">
        <w:t xml:space="preserve">, principalmente </w:t>
      </w:r>
      <w:r w:rsidR="00273411">
        <w:t xml:space="preserve">referentes a atuação de órgãos fiscalizadores (Vigilância Sanitária e PROCON) </w:t>
      </w:r>
      <w:r w:rsidR="000038FE">
        <w:t xml:space="preserve">e </w:t>
      </w:r>
      <w:r w:rsidR="00EB16E8">
        <w:t xml:space="preserve">duas </w:t>
      </w:r>
      <w:r w:rsidR="000038FE">
        <w:t>matéria</w:t>
      </w:r>
      <w:r w:rsidR="00EB16E8">
        <w:t>s</w:t>
      </w:r>
      <w:r w:rsidR="000038FE">
        <w:t xml:space="preserve"> </w:t>
      </w:r>
      <w:r>
        <w:t>de conotação favorável</w:t>
      </w:r>
      <w:r w:rsidRPr="00432181">
        <w:t xml:space="preserve">. </w:t>
      </w:r>
    </w:p>
    <w:p w:rsidR="00611843" w:rsidRPr="00432181" w:rsidRDefault="00611843" w:rsidP="00611843">
      <w:pPr>
        <w:spacing w:line="360" w:lineRule="auto"/>
        <w:jc w:val="both"/>
      </w:pPr>
    </w:p>
    <w:p w:rsidR="00611843" w:rsidRPr="00432181" w:rsidRDefault="00611843" w:rsidP="00611843">
      <w:pPr>
        <w:spacing w:line="36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Notícias na Mídia Impressa (201</w:t>
      </w:r>
      <w:r w:rsidR="005222AB">
        <w:rPr>
          <w:b/>
          <w:bCs/>
          <w:i/>
          <w:iCs/>
        </w:rPr>
        <w:t>4</w:t>
      </w:r>
      <w:r w:rsidRPr="00432181">
        <w:rPr>
          <w:b/>
          <w:bCs/>
          <w:i/>
          <w:iCs/>
        </w:rPr>
        <w:t>)</w:t>
      </w:r>
    </w:p>
    <w:p w:rsidR="00611843" w:rsidRDefault="00EB16E8" w:rsidP="00611843">
      <w:pPr>
        <w:spacing w:line="360" w:lineRule="auto"/>
        <w:jc w:val="center"/>
      </w:pPr>
      <w:r w:rsidRPr="00EB16E8">
        <w:rPr>
          <w:noProof/>
        </w:rPr>
        <w:drawing>
          <wp:inline distT="0" distB="0" distL="0" distR="0">
            <wp:extent cx="3238500" cy="8477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Default="00611843" w:rsidP="00611843">
      <w:pPr>
        <w:spacing w:line="360" w:lineRule="auto"/>
        <w:jc w:val="both"/>
      </w:pPr>
    </w:p>
    <w:p w:rsidR="00611843" w:rsidRPr="00F334D5" w:rsidRDefault="00611843" w:rsidP="00611843">
      <w:pPr>
        <w:spacing w:line="360" w:lineRule="auto"/>
        <w:jc w:val="both"/>
      </w:pPr>
      <w:r w:rsidRPr="00F334D5">
        <w:t>A Meta estabelecida para esse indicador é acima de 80% de notícias favoráveis.</w:t>
      </w:r>
    </w:p>
    <w:p w:rsidR="00611843" w:rsidRDefault="00611843" w:rsidP="00611843">
      <w:pPr>
        <w:spacing w:line="360" w:lineRule="auto"/>
        <w:jc w:val="both"/>
      </w:pPr>
    </w:p>
    <w:p w:rsidR="000038FE" w:rsidRDefault="00EB16E8" w:rsidP="000038FE">
      <w:pPr>
        <w:spacing w:line="360" w:lineRule="auto"/>
        <w:jc w:val="both"/>
      </w:pPr>
      <w:r w:rsidRPr="00EB16E8">
        <w:t>Com relação ao noticiário na TV, foram 38 participações. Ressalte-se que na TV Clube a maioria (09/16) estava inserida na categoria desfavorável: prisão por arrombamento, roubo, alagamentos das vias e galpões, etc.</w:t>
      </w:r>
      <w:r w:rsidR="000038FE">
        <w:t xml:space="preserve"> Enquanto os jornais divulgaram 1</w:t>
      </w:r>
      <w:r>
        <w:t>8</w:t>
      </w:r>
      <w:r w:rsidR="000038FE">
        <w:t xml:space="preserve"> notícias em 201</w:t>
      </w:r>
      <w:r>
        <w:t>4.</w:t>
      </w:r>
      <w:r w:rsidR="000038FE">
        <w:t xml:space="preserve"> </w:t>
      </w:r>
    </w:p>
    <w:p w:rsidR="000038FE" w:rsidRDefault="000038FE" w:rsidP="000038FE">
      <w:pPr>
        <w:spacing w:line="360" w:lineRule="auto"/>
        <w:jc w:val="both"/>
      </w:pPr>
    </w:p>
    <w:p w:rsidR="00611843" w:rsidRDefault="00611843" w:rsidP="00611843">
      <w:pPr>
        <w:spacing w:line="360" w:lineRule="auto"/>
        <w:jc w:val="both"/>
      </w:pPr>
      <w:r w:rsidRPr="005B5549">
        <w:t>A seguir, o comparativo 2004/201</w:t>
      </w:r>
      <w:r w:rsidR="004D3DD5">
        <w:t>4</w:t>
      </w:r>
      <w:r w:rsidRPr="005B5549">
        <w:t>:</w:t>
      </w:r>
    </w:p>
    <w:p w:rsidR="00611843" w:rsidRDefault="00EB16E8" w:rsidP="004D3DD5">
      <w:pPr>
        <w:spacing w:line="360" w:lineRule="auto"/>
        <w:ind w:left="-709"/>
        <w:jc w:val="both"/>
      </w:pPr>
      <w:r w:rsidRPr="00EB16E8">
        <w:rPr>
          <w:noProof/>
        </w:rPr>
        <w:drawing>
          <wp:inline distT="0" distB="0" distL="0" distR="0">
            <wp:extent cx="6604175" cy="590550"/>
            <wp:effectExtent l="0" t="0" r="635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87" cy="5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Default="00611843" w:rsidP="00611843">
      <w:pPr>
        <w:spacing w:line="360" w:lineRule="auto"/>
        <w:jc w:val="both"/>
      </w:pPr>
    </w:p>
    <w:p w:rsidR="00611843" w:rsidRPr="00441F09" w:rsidRDefault="004D3DD5" w:rsidP="00611843">
      <w:pPr>
        <w:spacing w:line="360" w:lineRule="auto"/>
        <w:jc w:val="both"/>
      </w:pPr>
      <w:r>
        <w:t xml:space="preserve">O </w:t>
      </w:r>
      <w:r w:rsidR="00611843">
        <w:t xml:space="preserve">número de inserções da O.S na mídia </w:t>
      </w:r>
      <w:r>
        <w:t>continua baixo</w:t>
      </w:r>
      <w:r w:rsidR="00611843">
        <w:t xml:space="preserve">. Vale salientar que a </w:t>
      </w:r>
      <w:r w:rsidR="00611843" w:rsidRPr="00441F09">
        <w:t>magnitude das ações realizadas</w:t>
      </w:r>
      <w:r w:rsidR="00611843">
        <w:t xml:space="preserve"> pela O.S</w:t>
      </w:r>
      <w:r w:rsidR="00611843" w:rsidRPr="00441F09">
        <w:t xml:space="preserve"> e </w:t>
      </w:r>
      <w:r w:rsidR="00611843">
        <w:t>o seu impacto social deveria ter um espaço maior na mídia em geral. Entende-se que as ações da</w:t>
      </w:r>
      <w:r w:rsidR="00611843" w:rsidRPr="00441F09">
        <w:t xml:space="preserve"> assessoria de imprensa poderiam ser </w:t>
      </w:r>
      <w:r w:rsidR="00611843">
        <w:t xml:space="preserve">mais intensas nesse sentido. </w:t>
      </w:r>
    </w:p>
    <w:p w:rsidR="00611843" w:rsidRPr="00441F09" w:rsidRDefault="00611843" w:rsidP="00611843">
      <w:pPr>
        <w:spacing w:line="360" w:lineRule="auto"/>
        <w:jc w:val="both"/>
      </w:pPr>
    </w:p>
    <w:p w:rsidR="009476A0" w:rsidRDefault="009476A0">
      <w:pPr>
        <w:rPr>
          <w:rFonts w:ascii="Calibri Light" w:hAnsi="Calibri Light"/>
          <w:b/>
          <w:bCs/>
          <w:kern w:val="28"/>
          <w:sz w:val="32"/>
          <w:szCs w:val="32"/>
        </w:rPr>
      </w:pPr>
      <w:r>
        <w:br w:type="page"/>
      </w: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lastRenderedPageBreak/>
        <w:t>Análise Conjunta dos Indicadores</w:t>
      </w:r>
    </w:p>
    <w:p w:rsidR="002303C9" w:rsidRPr="00744CCF" w:rsidRDefault="002303C9">
      <w:pPr>
        <w:spacing w:line="400" w:lineRule="exact"/>
        <w:jc w:val="both"/>
        <w:rPr>
          <w:szCs w:val="24"/>
        </w:rPr>
      </w:pPr>
    </w:p>
    <w:p w:rsidR="002303C9" w:rsidRDefault="002303C9" w:rsidP="009733BA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Avaliar a evolução conjunta dos Indicadores auxilia na visualização do comportamento das variáve</w:t>
      </w:r>
      <w:r w:rsidR="00341D85" w:rsidRPr="00744CCF">
        <w:rPr>
          <w:szCs w:val="24"/>
        </w:rPr>
        <w:t>is que os compõem como um todo.</w:t>
      </w:r>
    </w:p>
    <w:p w:rsidR="009733BA" w:rsidRDefault="009733BA" w:rsidP="009733BA">
      <w:pPr>
        <w:spacing w:line="360" w:lineRule="auto"/>
        <w:jc w:val="both"/>
        <w:rPr>
          <w:szCs w:val="24"/>
        </w:rPr>
      </w:pPr>
    </w:p>
    <w:p w:rsidR="009733BA" w:rsidRPr="00744CCF" w:rsidRDefault="005222AB" w:rsidP="00CB3B0E">
      <w:pPr>
        <w:spacing w:line="360" w:lineRule="auto"/>
        <w:jc w:val="center"/>
        <w:rPr>
          <w:szCs w:val="24"/>
        </w:rPr>
      </w:pPr>
      <w:r w:rsidRPr="005222AB">
        <w:rPr>
          <w:noProof/>
        </w:rPr>
        <w:drawing>
          <wp:inline distT="0" distB="0" distL="0" distR="0">
            <wp:extent cx="5940425" cy="3700631"/>
            <wp:effectExtent l="0" t="0" r="3175" b="0"/>
            <wp:docPr id="271" name="Imagem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C9" w:rsidRPr="00744CCF" w:rsidRDefault="002303C9" w:rsidP="009733BA">
      <w:pPr>
        <w:spacing w:line="360" w:lineRule="auto"/>
        <w:jc w:val="both"/>
        <w:rPr>
          <w:szCs w:val="24"/>
        </w:rPr>
      </w:pPr>
    </w:p>
    <w:p w:rsidR="002303C9" w:rsidRPr="00744CCF" w:rsidRDefault="009733BA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O </w:t>
      </w:r>
      <w:r w:rsidR="005222AB">
        <w:rPr>
          <w:szCs w:val="24"/>
        </w:rPr>
        <w:t>q</w:t>
      </w:r>
      <w:r>
        <w:rPr>
          <w:szCs w:val="24"/>
        </w:rPr>
        <w:t xml:space="preserve">uadro </w:t>
      </w:r>
      <w:r w:rsidR="001373AA">
        <w:rPr>
          <w:szCs w:val="24"/>
        </w:rPr>
        <w:t xml:space="preserve">acima </w:t>
      </w:r>
      <w:r w:rsidR="002303C9" w:rsidRPr="00744CCF">
        <w:rPr>
          <w:szCs w:val="24"/>
        </w:rPr>
        <w:t>mostra a posição consolidada dos indica</w:t>
      </w:r>
      <w:r w:rsidR="00341D85" w:rsidRPr="00744CCF">
        <w:rPr>
          <w:szCs w:val="24"/>
        </w:rPr>
        <w:t xml:space="preserve">dores de posição </w:t>
      </w:r>
      <w:r w:rsidR="00DE1918" w:rsidRPr="00744CCF">
        <w:rPr>
          <w:szCs w:val="24"/>
        </w:rPr>
        <w:t>nesse período,</w:t>
      </w:r>
      <w:r w:rsidR="00D94D9C" w:rsidRPr="00744CCF">
        <w:rPr>
          <w:color w:val="FF0000"/>
          <w:szCs w:val="24"/>
        </w:rPr>
        <w:t xml:space="preserve"> </w:t>
      </w:r>
      <w:r w:rsidR="00D94D9C" w:rsidRPr="00744CCF">
        <w:rPr>
          <w:szCs w:val="24"/>
        </w:rPr>
        <w:t xml:space="preserve">onde </w:t>
      </w:r>
      <w:r w:rsidR="00D947BC">
        <w:rPr>
          <w:szCs w:val="24"/>
        </w:rPr>
        <w:t xml:space="preserve">apenas </w:t>
      </w:r>
      <w:r w:rsidR="005222AB">
        <w:rPr>
          <w:szCs w:val="24"/>
        </w:rPr>
        <w:t>um</w:t>
      </w:r>
      <w:r w:rsidR="00D947BC">
        <w:rPr>
          <w:szCs w:val="24"/>
        </w:rPr>
        <w:t xml:space="preserve"> dos oito </w:t>
      </w:r>
      <w:r w:rsidR="00DE1918" w:rsidRPr="00744CCF">
        <w:rPr>
          <w:szCs w:val="24"/>
        </w:rPr>
        <w:t>indicadores</w:t>
      </w:r>
      <w:r w:rsidR="00D94D9C" w:rsidRPr="00744CCF">
        <w:rPr>
          <w:szCs w:val="24"/>
        </w:rPr>
        <w:t>,</w:t>
      </w:r>
      <w:r w:rsidR="00DE1918" w:rsidRPr="00744CCF">
        <w:rPr>
          <w:szCs w:val="24"/>
        </w:rPr>
        <w:t xml:space="preserve"> </w:t>
      </w:r>
      <w:r w:rsidR="00D94D9C" w:rsidRPr="00744CCF">
        <w:rPr>
          <w:szCs w:val="24"/>
        </w:rPr>
        <w:t>não alcançaram</w:t>
      </w:r>
      <w:r w:rsidR="00D947BC">
        <w:rPr>
          <w:szCs w:val="24"/>
        </w:rPr>
        <w:t xml:space="preserve"> </w:t>
      </w:r>
      <w:r w:rsidR="005222AB">
        <w:rPr>
          <w:szCs w:val="24"/>
        </w:rPr>
        <w:t xml:space="preserve">em 2014 </w:t>
      </w:r>
      <w:r w:rsidR="00D94D9C" w:rsidRPr="00744CCF">
        <w:rPr>
          <w:szCs w:val="24"/>
        </w:rPr>
        <w:t>as</w:t>
      </w:r>
      <w:r w:rsidR="003F234C" w:rsidRPr="00744CCF">
        <w:rPr>
          <w:szCs w:val="24"/>
        </w:rPr>
        <w:t xml:space="preserve"> meta</w:t>
      </w:r>
      <w:r w:rsidR="00D94D9C" w:rsidRPr="00744CCF">
        <w:rPr>
          <w:szCs w:val="24"/>
        </w:rPr>
        <w:t xml:space="preserve">s </w:t>
      </w:r>
      <w:r w:rsidR="00F23FEB" w:rsidRPr="00744CCF">
        <w:rPr>
          <w:szCs w:val="24"/>
        </w:rPr>
        <w:t xml:space="preserve">iniciais </w:t>
      </w:r>
      <w:r w:rsidR="003F234C" w:rsidRPr="00744CCF">
        <w:rPr>
          <w:szCs w:val="24"/>
        </w:rPr>
        <w:t>estabelecida</w:t>
      </w:r>
      <w:r w:rsidR="00D94D9C" w:rsidRPr="00744CCF">
        <w:rPr>
          <w:szCs w:val="24"/>
        </w:rPr>
        <w:t>s</w:t>
      </w:r>
      <w:r w:rsidR="00402FA9">
        <w:rPr>
          <w:szCs w:val="24"/>
        </w:rPr>
        <w:t>, que foi o IOAD que estabelece uma ocupação de área disponível em 100% e atingiu 99,5%</w:t>
      </w:r>
      <w:r w:rsidR="002303C9" w:rsidRPr="00744CCF">
        <w:rPr>
          <w:szCs w:val="24"/>
        </w:rPr>
        <w:t>.</w:t>
      </w:r>
    </w:p>
    <w:p w:rsidR="002303C9" w:rsidRPr="00744CCF" w:rsidRDefault="002303C9">
      <w:pPr>
        <w:spacing w:line="360" w:lineRule="auto"/>
        <w:jc w:val="both"/>
        <w:rPr>
          <w:szCs w:val="24"/>
        </w:rPr>
        <w:sectPr w:rsidR="002303C9" w:rsidRPr="00744CCF" w:rsidSect="00B43184">
          <w:headerReference w:type="default" r:id="rId30"/>
          <w:footerReference w:type="default" r:id="rId31"/>
          <w:headerReference w:type="first" r:id="rId32"/>
          <w:type w:val="continuous"/>
          <w:pgSz w:w="11907" w:h="16840" w:code="9"/>
          <w:pgMar w:top="1134" w:right="1134" w:bottom="1134" w:left="1418" w:header="720" w:footer="618" w:gutter="0"/>
          <w:cols w:space="720"/>
          <w:titlePg/>
          <w:docGrid w:linePitch="326"/>
        </w:sect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</w:p>
    <w:p w:rsidR="002303C9" w:rsidRPr="00744CCF" w:rsidRDefault="003A51FE" w:rsidP="004079CB">
      <w:pPr>
        <w:spacing w:line="360" w:lineRule="auto"/>
        <w:jc w:val="both"/>
        <w:rPr>
          <w:b/>
          <w:bCs/>
          <w:i/>
          <w:iCs/>
          <w:szCs w:val="24"/>
        </w:rPr>
      </w:pPr>
      <w:r w:rsidRPr="00744CCF">
        <w:rPr>
          <w:b/>
          <w:bCs/>
          <w:i/>
          <w:iCs/>
          <w:szCs w:val="24"/>
        </w:rPr>
        <w:t xml:space="preserve"> </w:t>
      </w:r>
      <w:r w:rsidR="00530E9A" w:rsidRPr="00744CCF">
        <w:rPr>
          <w:b/>
          <w:bCs/>
          <w:i/>
          <w:iCs/>
          <w:szCs w:val="24"/>
        </w:rPr>
        <w:t xml:space="preserve">     </w:t>
      </w:r>
      <w:r w:rsidR="002303C9" w:rsidRPr="00744CCF">
        <w:rPr>
          <w:b/>
          <w:bCs/>
          <w:i/>
          <w:iCs/>
          <w:szCs w:val="24"/>
        </w:rPr>
        <w:t>Quadro 0</w:t>
      </w:r>
      <w:r w:rsidR="00277D30" w:rsidRPr="00744CCF">
        <w:rPr>
          <w:b/>
          <w:bCs/>
          <w:i/>
          <w:iCs/>
          <w:szCs w:val="24"/>
        </w:rPr>
        <w:t>4</w:t>
      </w:r>
      <w:r w:rsidR="002303C9" w:rsidRPr="00744CCF">
        <w:rPr>
          <w:b/>
          <w:bCs/>
          <w:i/>
          <w:iCs/>
          <w:szCs w:val="24"/>
        </w:rPr>
        <w:t>: Evolução dos Indicadores de Posição</w:t>
      </w:r>
    </w:p>
    <w:p w:rsidR="004079CB" w:rsidRPr="00744CCF" w:rsidRDefault="00297EF4" w:rsidP="00D947BC">
      <w:pPr>
        <w:spacing w:line="360" w:lineRule="auto"/>
        <w:jc w:val="center"/>
        <w:rPr>
          <w:szCs w:val="24"/>
        </w:rPr>
      </w:pPr>
      <w:r w:rsidRPr="00297EF4">
        <w:rPr>
          <w:noProof/>
        </w:rPr>
        <w:lastRenderedPageBreak/>
        <w:drawing>
          <wp:inline distT="0" distB="0" distL="0" distR="0">
            <wp:extent cx="9253220" cy="5092771"/>
            <wp:effectExtent l="0" t="0" r="5080" b="0"/>
            <wp:docPr id="272" name="Image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09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18" w:rsidRPr="00744CCF" w:rsidRDefault="00DE1918">
      <w:pPr>
        <w:spacing w:line="360" w:lineRule="auto"/>
        <w:jc w:val="both"/>
        <w:rPr>
          <w:szCs w:val="24"/>
        </w:rPr>
        <w:sectPr w:rsidR="00DE1918" w:rsidRPr="00744CCF" w:rsidSect="00DE1918">
          <w:pgSz w:w="16840" w:h="11907" w:orient="landscape" w:code="9"/>
          <w:pgMar w:top="1418" w:right="1134" w:bottom="1134" w:left="1134" w:header="720" w:footer="720" w:gutter="0"/>
          <w:cols w:space="720"/>
        </w:sectPr>
      </w:pPr>
    </w:p>
    <w:p w:rsidR="002303C9" w:rsidRPr="00744CCF" w:rsidRDefault="002303C9">
      <w:pPr>
        <w:spacing w:line="420" w:lineRule="exact"/>
        <w:jc w:val="both"/>
        <w:rPr>
          <w:szCs w:val="24"/>
        </w:rPr>
      </w:pPr>
      <w:r w:rsidRPr="00744CCF">
        <w:rPr>
          <w:szCs w:val="24"/>
        </w:rPr>
        <w:lastRenderedPageBreak/>
        <w:t xml:space="preserve">A esses indicadores foi atribuído um </w:t>
      </w:r>
      <w:r w:rsidRPr="00744CCF">
        <w:rPr>
          <w:i/>
          <w:iCs/>
          <w:szCs w:val="24"/>
        </w:rPr>
        <w:t>score</w:t>
      </w:r>
      <w:r w:rsidRPr="00744CCF">
        <w:rPr>
          <w:szCs w:val="24"/>
        </w:rPr>
        <w:t xml:space="preserve"> máximo de 100 pontos, distribuídos conforme o peso de cada indicador. Assim, obtém-se um parâmetro de desempenho para a organização como um todo, onde, ao atingir a meta estipulada, o indicador recebe pontuação máxima e a diferença entre o </w:t>
      </w:r>
      <w:r w:rsidRPr="00744CCF">
        <w:rPr>
          <w:i/>
          <w:iCs/>
          <w:szCs w:val="24"/>
        </w:rPr>
        <w:t>score</w:t>
      </w:r>
      <w:r w:rsidRPr="00744CCF">
        <w:rPr>
          <w:szCs w:val="24"/>
        </w:rPr>
        <w:t xml:space="preserve"> máximo (M) e o obtido </w:t>
      </w:r>
      <w:r w:rsidR="009476A0">
        <w:rPr>
          <w:szCs w:val="24"/>
        </w:rPr>
        <w:t>(R)</w:t>
      </w:r>
      <w:r w:rsidRPr="00744CCF">
        <w:rPr>
          <w:szCs w:val="24"/>
        </w:rPr>
        <w:t xml:space="preserve"> indica justamente as áreas onde a Organização deve concentrar seu foco de atenção.</w:t>
      </w:r>
    </w:p>
    <w:p w:rsidR="002303C9" w:rsidRPr="00744CCF" w:rsidRDefault="002303C9">
      <w:pPr>
        <w:spacing w:line="360" w:lineRule="auto"/>
        <w:jc w:val="both"/>
        <w:rPr>
          <w:szCs w:val="24"/>
          <w:u w:val="single"/>
        </w:rPr>
      </w:pPr>
    </w:p>
    <w:p w:rsidR="002303C9" w:rsidRPr="00744CCF" w:rsidRDefault="002303C9">
      <w:pPr>
        <w:pStyle w:val="Ttulo9"/>
        <w:spacing w:line="360" w:lineRule="auto"/>
        <w:jc w:val="both"/>
        <w:rPr>
          <w:sz w:val="24"/>
          <w:szCs w:val="24"/>
          <w:u w:val="none"/>
        </w:rPr>
      </w:pPr>
      <w:r w:rsidRPr="00744CCF">
        <w:rPr>
          <w:sz w:val="24"/>
          <w:szCs w:val="24"/>
          <w:u w:val="none"/>
        </w:rPr>
        <w:t>A seguir, serão realizadas análises comparativas finais dos indicadores até aqui obtidos, onde se percebe a evolução no desempenho da Organização:</w:t>
      </w:r>
    </w:p>
    <w:p w:rsidR="002303C9" w:rsidRPr="00744CCF" w:rsidRDefault="002303C9">
      <w:pPr>
        <w:spacing w:line="360" w:lineRule="auto"/>
        <w:rPr>
          <w:szCs w:val="24"/>
        </w:rPr>
      </w:pPr>
    </w:p>
    <w:p w:rsidR="002303C9" w:rsidRPr="00744CCF" w:rsidRDefault="002303C9" w:rsidP="003D60AB">
      <w:pPr>
        <w:spacing w:line="360" w:lineRule="auto"/>
        <w:jc w:val="both"/>
        <w:rPr>
          <w:b/>
          <w:bCs/>
          <w:i/>
          <w:iCs/>
          <w:szCs w:val="24"/>
        </w:rPr>
      </w:pPr>
      <w:r w:rsidRPr="00744CCF">
        <w:rPr>
          <w:b/>
          <w:bCs/>
          <w:i/>
          <w:iCs/>
          <w:szCs w:val="24"/>
        </w:rPr>
        <w:t xml:space="preserve">Quadro </w:t>
      </w:r>
      <w:r w:rsidR="00E12A5A" w:rsidRPr="00744CCF">
        <w:rPr>
          <w:b/>
          <w:bCs/>
          <w:i/>
          <w:iCs/>
          <w:szCs w:val="24"/>
        </w:rPr>
        <w:t>06</w:t>
      </w:r>
      <w:r w:rsidRPr="00744CCF">
        <w:rPr>
          <w:b/>
          <w:bCs/>
          <w:i/>
          <w:iCs/>
          <w:szCs w:val="24"/>
        </w:rPr>
        <w:t>: Compar</w:t>
      </w:r>
      <w:r w:rsidR="00716D03" w:rsidRPr="00744CCF">
        <w:rPr>
          <w:b/>
          <w:bCs/>
          <w:i/>
          <w:iCs/>
          <w:szCs w:val="24"/>
        </w:rPr>
        <w:t>ativo do score:</w:t>
      </w:r>
    </w:p>
    <w:p w:rsidR="008F10F7" w:rsidRPr="00744CCF" w:rsidRDefault="008F10F7" w:rsidP="003D60AB">
      <w:pPr>
        <w:spacing w:line="360" w:lineRule="auto"/>
        <w:jc w:val="both"/>
        <w:rPr>
          <w:b/>
          <w:bCs/>
          <w:i/>
          <w:iCs/>
          <w:szCs w:val="24"/>
        </w:rPr>
      </w:pPr>
    </w:p>
    <w:p w:rsidR="002303C9" w:rsidRDefault="00A71735" w:rsidP="00AA55B2">
      <w:pPr>
        <w:spacing w:line="480" w:lineRule="auto"/>
        <w:ind w:hanging="567"/>
        <w:jc w:val="center"/>
        <w:rPr>
          <w:szCs w:val="24"/>
        </w:rPr>
      </w:pPr>
      <w:r w:rsidRPr="00A71735">
        <w:rPr>
          <w:noProof/>
        </w:rPr>
        <w:drawing>
          <wp:inline distT="0" distB="0" distL="0" distR="0">
            <wp:extent cx="2520138" cy="2453253"/>
            <wp:effectExtent l="0" t="0" r="0" b="4445"/>
            <wp:docPr id="273" name="Image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72" cy="24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ab/>
      </w:r>
    </w:p>
    <w:p w:rsidR="00D947BC" w:rsidRDefault="00D947BC" w:rsidP="009D0263">
      <w:pPr>
        <w:spacing w:line="480" w:lineRule="auto"/>
        <w:jc w:val="center"/>
        <w:rPr>
          <w:szCs w:val="24"/>
        </w:rPr>
      </w:pPr>
    </w:p>
    <w:p w:rsidR="00D947BC" w:rsidRDefault="00A71735" w:rsidP="00590C4D">
      <w:pPr>
        <w:spacing w:line="480" w:lineRule="auto"/>
        <w:jc w:val="both"/>
        <w:rPr>
          <w:szCs w:val="24"/>
        </w:rPr>
      </w:pPr>
      <w:r>
        <w:rPr>
          <w:szCs w:val="24"/>
        </w:rPr>
        <w:t xml:space="preserve">Pelo segundo ano consecutivo </w:t>
      </w:r>
      <w:r w:rsidR="00590C4D">
        <w:rPr>
          <w:szCs w:val="24"/>
        </w:rPr>
        <w:t xml:space="preserve">o </w:t>
      </w:r>
      <w:r w:rsidR="0045103B" w:rsidRPr="0045103B">
        <w:rPr>
          <w:i/>
          <w:szCs w:val="24"/>
        </w:rPr>
        <w:t>score</w:t>
      </w:r>
      <w:r w:rsidR="0045103B">
        <w:rPr>
          <w:szCs w:val="24"/>
        </w:rPr>
        <w:t xml:space="preserve"> geral </w:t>
      </w:r>
      <w:r>
        <w:rPr>
          <w:szCs w:val="24"/>
        </w:rPr>
        <w:t xml:space="preserve">termina </w:t>
      </w:r>
      <w:r w:rsidR="0045103B">
        <w:rPr>
          <w:szCs w:val="24"/>
        </w:rPr>
        <w:t xml:space="preserve">acima de </w:t>
      </w:r>
      <w:r w:rsidR="001373AA">
        <w:rPr>
          <w:szCs w:val="24"/>
        </w:rPr>
        <w:t>9</w:t>
      </w:r>
      <w:r w:rsidR="0045103B">
        <w:rPr>
          <w:szCs w:val="24"/>
        </w:rPr>
        <w:t>9</w:t>
      </w:r>
      <w:r w:rsidR="001373AA">
        <w:rPr>
          <w:szCs w:val="24"/>
        </w:rPr>
        <w:t>%</w:t>
      </w:r>
      <w:r>
        <w:rPr>
          <w:szCs w:val="24"/>
        </w:rPr>
        <w:t xml:space="preserve">, o que demonstra a maneira conservadora da Diretoria em conduzir a Gestão do CEASA-OS de olho nos indicadores, o que permitiu um </w:t>
      </w:r>
      <w:r w:rsidR="001373AA">
        <w:rPr>
          <w:szCs w:val="24"/>
        </w:rPr>
        <w:t>desempenho global</w:t>
      </w:r>
      <w:r>
        <w:rPr>
          <w:szCs w:val="24"/>
        </w:rPr>
        <w:t xml:space="preserve"> bem acima dos anos anteriores</w:t>
      </w:r>
      <w:r w:rsidR="00590C4D">
        <w:rPr>
          <w:szCs w:val="24"/>
        </w:rPr>
        <w:t>.</w:t>
      </w:r>
    </w:p>
    <w:p w:rsidR="00D947BC" w:rsidRPr="00744CCF" w:rsidRDefault="00D947BC" w:rsidP="009D0263">
      <w:pPr>
        <w:spacing w:line="480" w:lineRule="auto"/>
        <w:jc w:val="center"/>
        <w:rPr>
          <w:szCs w:val="24"/>
        </w:rPr>
      </w:pPr>
    </w:p>
    <w:p w:rsidR="00117A36" w:rsidRPr="00744CCF" w:rsidRDefault="008F10F7" w:rsidP="00590C4D">
      <w:pPr>
        <w:spacing w:line="480" w:lineRule="auto"/>
        <w:rPr>
          <w:szCs w:val="24"/>
        </w:rPr>
      </w:pPr>
      <w:r w:rsidRPr="00744CCF">
        <w:rPr>
          <w:szCs w:val="24"/>
        </w:rPr>
        <w:br w:type="page"/>
      </w:r>
    </w:p>
    <w:p w:rsidR="00590C4D" w:rsidRPr="007B3CC7" w:rsidRDefault="00590C4D" w:rsidP="00D74C92">
      <w:pPr>
        <w:pStyle w:val="Ttulo"/>
        <w:numPr>
          <w:ilvl w:val="0"/>
          <w:numId w:val="6"/>
        </w:numPr>
        <w:jc w:val="both"/>
      </w:pPr>
      <w:r w:rsidRPr="00744CCF">
        <w:lastRenderedPageBreak/>
        <w:t>Parecer Final e Recomendações</w:t>
      </w:r>
      <w:r w:rsidRPr="007B3CC7">
        <w:t xml:space="preserve"> </w:t>
      </w:r>
    </w:p>
    <w:p w:rsidR="002303C9" w:rsidRPr="00744CCF" w:rsidRDefault="002303C9">
      <w:pPr>
        <w:spacing w:line="440" w:lineRule="exact"/>
        <w:rPr>
          <w:szCs w:val="24"/>
        </w:rPr>
      </w:pPr>
    </w:p>
    <w:p w:rsidR="00DA6A94" w:rsidRDefault="00DA6A94">
      <w:pPr>
        <w:spacing w:line="360" w:lineRule="auto"/>
        <w:jc w:val="both"/>
        <w:rPr>
          <w:szCs w:val="24"/>
        </w:rPr>
      </w:pPr>
      <w:r w:rsidRPr="00DA6A94">
        <w:rPr>
          <w:szCs w:val="24"/>
        </w:rPr>
        <w:t>A</w:t>
      </w:r>
      <w:r>
        <w:rPr>
          <w:szCs w:val="24"/>
        </w:rPr>
        <w:t xml:space="preserve">o </w:t>
      </w:r>
      <w:r w:rsidR="009606EF">
        <w:rPr>
          <w:szCs w:val="24"/>
        </w:rPr>
        <w:t xml:space="preserve">completar uma década </w:t>
      </w:r>
      <w:r w:rsidRPr="00DA6A94">
        <w:rPr>
          <w:szCs w:val="24"/>
        </w:rPr>
        <w:t>de funcionamento no modelo de Organização Social, a CEASA-PE/OS demonstra grande estabilidade na gestão de suas operações</w:t>
      </w:r>
      <w:r>
        <w:rPr>
          <w:szCs w:val="24"/>
        </w:rPr>
        <w:t xml:space="preserve"> e capacidade de reação às adversidades</w:t>
      </w:r>
      <w:r w:rsidRPr="00DA6A94">
        <w:rPr>
          <w:szCs w:val="24"/>
        </w:rPr>
        <w:t>, transcendendo inclusive a crises econômicas e instabilidades políticas no cenário nacional e internacional.</w:t>
      </w:r>
    </w:p>
    <w:p w:rsidR="000108BC" w:rsidRPr="000108BC" w:rsidRDefault="000108BC" w:rsidP="000108BC">
      <w:pPr>
        <w:spacing w:line="360" w:lineRule="auto"/>
        <w:jc w:val="both"/>
        <w:rPr>
          <w:color w:val="000000" w:themeColor="text1"/>
          <w:szCs w:val="24"/>
        </w:rPr>
      </w:pPr>
    </w:p>
    <w:p w:rsidR="002303C9" w:rsidRPr="000108BC" w:rsidRDefault="000108BC" w:rsidP="000108BC">
      <w:pPr>
        <w:spacing w:line="360" w:lineRule="auto"/>
        <w:jc w:val="both"/>
        <w:rPr>
          <w:color w:val="000000" w:themeColor="text1"/>
          <w:szCs w:val="24"/>
        </w:rPr>
      </w:pPr>
      <w:r w:rsidRPr="000108BC">
        <w:rPr>
          <w:color w:val="000000" w:themeColor="text1"/>
          <w:szCs w:val="24"/>
        </w:rPr>
        <w:t xml:space="preserve">A filosofia do </w:t>
      </w:r>
      <w:r w:rsidRPr="009606EF">
        <w:rPr>
          <w:b/>
          <w:i/>
          <w:color w:val="000000" w:themeColor="text1"/>
          <w:szCs w:val="24"/>
        </w:rPr>
        <w:t>Balanced Scorecard</w:t>
      </w:r>
      <w:r w:rsidRPr="000108BC">
        <w:rPr>
          <w:color w:val="000000" w:themeColor="text1"/>
          <w:szCs w:val="24"/>
        </w:rPr>
        <w:t>, ou pontuação balanceada utilizada na metodologia de avaliação da O.S contempla o equilíbrio entre os aspectos avaliados, aos quais a CEASA-PE tem se mantido fiel no sentido de buscar atender a todos.</w:t>
      </w:r>
    </w:p>
    <w:p w:rsidR="000108BC" w:rsidRPr="000108BC" w:rsidRDefault="000108BC" w:rsidP="000108BC">
      <w:pPr>
        <w:spacing w:line="360" w:lineRule="auto"/>
        <w:jc w:val="both"/>
        <w:rPr>
          <w:color w:val="000000" w:themeColor="text1"/>
          <w:szCs w:val="24"/>
        </w:rPr>
      </w:pPr>
    </w:p>
    <w:p w:rsidR="00E60F0E" w:rsidRPr="007B3CC7" w:rsidRDefault="00A97B16" w:rsidP="00A97B16">
      <w:pPr>
        <w:pStyle w:val="Ttulo"/>
        <w:numPr>
          <w:ilvl w:val="1"/>
          <w:numId w:val="10"/>
        </w:numPr>
        <w:jc w:val="both"/>
      </w:pPr>
      <w:r w:rsidRPr="00A97B16">
        <w:t>Em relação à diversificação de operações e Receitas</w:t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</w:p>
    <w:p w:rsidR="00A97B16" w:rsidRDefault="00A97B16" w:rsidP="00A97B16">
      <w:pPr>
        <w:spacing w:line="360" w:lineRule="auto"/>
        <w:jc w:val="both"/>
        <w:rPr>
          <w:rFonts w:cs="Arial"/>
          <w:szCs w:val="24"/>
        </w:rPr>
      </w:pPr>
      <w:r w:rsidRPr="00D716EA">
        <w:rPr>
          <w:rFonts w:cs="Arial"/>
          <w:szCs w:val="24"/>
        </w:rPr>
        <w:t>Fruto do esforço de seus dirigentes para ampliar a geração de Receitas, a CEASA possui hoje centros de Receita diversificados, oriundos de operações condizentes com seu propósito e missão.</w:t>
      </w:r>
      <w:r>
        <w:rPr>
          <w:rFonts w:cs="Arial"/>
          <w:szCs w:val="24"/>
        </w:rPr>
        <w:t xml:space="preserve"> </w:t>
      </w:r>
      <w:r w:rsidRPr="00D716EA">
        <w:rPr>
          <w:rFonts w:cs="Arial"/>
          <w:szCs w:val="24"/>
        </w:rPr>
        <w:t>Desta forma, grande parte da Receita da O.S. não mais é proveniente dos volumes</w:t>
      </w:r>
      <w:r>
        <w:rPr>
          <w:rFonts w:cs="Arial"/>
          <w:szCs w:val="24"/>
        </w:rPr>
        <w:t xml:space="preserve"> comercializados no entreposto.</w:t>
      </w:r>
    </w:p>
    <w:p w:rsidR="00A97B16" w:rsidRDefault="00A97B16" w:rsidP="00A97B16">
      <w:pPr>
        <w:spacing w:line="360" w:lineRule="auto"/>
        <w:jc w:val="both"/>
        <w:rPr>
          <w:rFonts w:cs="Arial"/>
          <w:szCs w:val="24"/>
        </w:rPr>
      </w:pPr>
    </w:p>
    <w:p w:rsidR="00A97B16" w:rsidRPr="00D716EA" w:rsidRDefault="00A97B16" w:rsidP="00A97B16">
      <w:pPr>
        <w:spacing w:line="360" w:lineRule="auto"/>
        <w:jc w:val="both"/>
        <w:rPr>
          <w:rFonts w:cs="Arial"/>
          <w:szCs w:val="24"/>
        </w:rPr>
      </w:pPr>
      <w:r w:rsidRPr="00D716EA">
        <w:rPr>
          <w:rFonts w:cs="Arial"/>
          <w:szCs w:val="24"/>
        </w:rPr>
        <w:t>É visível que a CEASA/PE-OS assumiu seu papel de grande centro logístico de abastecimento do Estado e diversos aspectos precisam ser reavaliados.</w:t>
      </w:r>
      <w:r>
        <w:rPr>
          <w:rFonts w:cs="Arial"/>
          <w:szCs w:val="24"/>
        </w:rPr>
        <w:t xml:space="preserve"> </w:t>
      </w:r>
      <w:r w:rsidRPr="00D716EA">
        <w:rPr>
          <w:rFonts w:cs="Arial"/>
          <w:szCs w:val="24"/>
        </w:rPr>
        <w:t>Um desses aspectos diz respeito ao próprio indicador que confronta os custos da Organização com os volumes comercializados. Uma vez que esses custos tenham aumentado em função da diversificação das Receitas, é importante que o indicador seja revisto para um futuro próximo.</w:t>
      </w:r>
    </w:p>
    <w:p w:rsidR="00EB49C5" w:rsidRDefault="00EB49C5">
      <w:pPr>
        <w:spacing w:line="360" w:lineRule="auto"/>
        <w:jc w:val="both"/>
        <w:rPr>
          <w:szCs w:val="24"/>
        </w:rPr>
      </w:pPr>
    </w:p>
    <w:p w:rsidR="002303C9" w:rsidRPr="00744CCF" w:rsidRDefault="00EB49C5" w:rsidP="00E60F0E">
      <w:pPr>
        <w:pStyle w:val="Ttulo"/>
        <w:numPr>
          <w:ilvl w:val="1"/>
          <w:numId w:val="10"/>
        </w:numPr>
        <w:jc w:val="both"/>
      </w:pPr>
      <w:r>
        <w:t xml:space="preserve">Resultado líquido aplicável </w:t>
      </w:r>
    </w:p>
    <w:p w:rsidR="002303C9" w:rsidRPr="00744CCF" w:rsidRDefault="002303C9">
      <w:pPr>
        <w:spacing w:line="360" w:lineRule="auto"/>
        <w:jc w:val="both"/>
        <w:rPr>
          <w:color w:val="000000"/>
          <w:szCs w:val="24"/>
        </w:rPr>
      </w:pPr>
    </w:p>
    <w:p w:rsidR="00BA57DF" w:rsidRDefault="00BA19C0">
      <w:pPr>
        <w:spacing w:line="360" w:lineRule="auto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O indicador apresentou recuperação considerável </w:t>
      </w:r>
      <w:r w:rsidR="00A97B16">
        <w:rPr>
          <w:color w:val="000000"/>
          <w:szCs w:val="24"/>
        </w:rPr>
        <w:t>em 2013</w:t>
      </w:r>
      <w:r w:rsidR="007F411D">
        <w:rPr>
          <w:color w:val="000000"/>
          <w:szCs w:val="24"/>
        </w:rPr>
        <w:t xml:space="preserve"> e se consolidou em 2014</w:t>
      </w:r>
      <w:r>
        <w:rPr>
          <w:color w:val="000000"/>
          <w:szCs w:val="24"/>
        </w:rPr>
        <w:t>, o que contribui para que o índice geral chegasse a mais de 9</w:t>
      </w:r>
      <w:r w:rsidR="00A97B16">
        <w:rPr>
          <w:color w:val="000000"/>
          <w:szCs w:val="24"/>
        </w:rPr>
        <w:t>9</w:t>
      </w:r>
      <w:r>
        <w:rPr>
          <w:color w:val="000000"/>
          <w:szCs w:val="24"/>
        </w:rPr>
        <w:t>% de resultado</w:t>
      </w:r>
      <w:r w:rsidR="00BA57DF">
        <w:rPr>
          <w:color w:val="000000"/>
          <w:szCs w:val="24"/>
        </w:rPr>
        <w:t xml:space="preserve">, </w:t>
      </w:r>
      <w:r w:rsidR="007F411D">
        <w:rPr>
          <w:color w:val="000000"/>
          <w:szCs w:val="24"/>
        </w:rPr>
        <w:t>apesar do aumento d</w:t>
      </w:r>
      <w:r w:rsidR="00BA57DF">
        <w:rPr>
          <w:color w:val="000000"/>
          <w:szCs w:val="24"/>
        </w:rPr>
        <w:t xml:space="preserve">os volumes comercializados </w:t>
      </w:r>
      <w:r w:rsidR="007F411D">
        <w:rPr>
          <w:color w:val="000000"/>
          <w:szCs w:val="24"/>
        </w:rPr>
        <w:t xml:space="preserve">em 2014 </w:t>
      </w:r>
      <w:r w:rsidR="00BA57DF">
        <w:rPr>
          <w:color w:val="000000"/>
          <w:szCs w:val="24"/>
        </w:rPr>
        <w:t>e diminuição da receita total</w:t>
      </w:r>
      <w:r>
        <w:rPr>
          <w:color w:val="000000"/>
          <w:szCs w:val="24"/>
        </w:rPr>
        <w:t>.</w:t>
      </w:r>
    </w:p>
    <w:p w:rsidR="00E60F0E" w:rsidRDefault="00BA19C0">
      <w:pPr>
        <w:spacing w:line="360" w:lineRule="auto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 </w:t>
      </w:r>
    </w:p>
    <w:p w:rsidR="00BA57DF" w:rsidRPr="00744CCF" w:rsidRDefault="00BA57DF" w:rsidP="00BA57DF">
      <w:pPr>
        <w:pStyle w:val="Ttulo"/>
        <w:numPr>
          <w:ilvl w:val="1"/>
          <w:numId w:val="10"/>
        </w:numPr>
        <w:jc w:val="both"/>
      </w:pPr>
      <w:r w:rsidRPr="00BA57DF">
        <w:lastRenderedPageBreak/>
        <w:t>Evolução das Despesas Operacionais X Receitas Operacionais</w:t>
      </w:r>
      <w:r>
        <w:t xml:space="preserve"> </w:t>
      </w:r>
    </w:p>
    <w:p w:rsidR="00BA57DF" w:rsidRPr="00A53D96" w:rsidRDefault="00BA57DF" w:rsidP="00BA57DF">
      <w:pPr>
        <w:spacing w:line="360" w:lineRule="auto"/>
        <w:jc w:val="both"/>
        <w:rPr>
          <w:rFonts w:cs="Arial"/>
          <w:szCs w:val="24"/>
        </w:rPr>
      </w:pPr>
    </w:p>
    <w:p w:rsidR="00BA57DF" w:rsidRDefault="00BA57DF" w:rsidP="00BA57DF">
      <w:pPr>
        <w:spacing w:line="360" w:lineRule="auto"/>
        <w:jc w:val="both"/>
        <w:rPr>
          <w:rFonts w:cs="Arial"/>
          <w:szCs w:val="24"/>
        </w:rPr>
      </w:pPr>
      <w:r w:rsidRPr="00A53D96">
        <w:rPr>
          <w:rFonts w:cs="Arial"/>
          <w:szCs w:val="24"/>
        </w:rPr>
        <w:t>Apesar de apresentar resultados positivos, é sempre recomendável avaliar a proporcionalidade do crescimento entre as Receitas e despesas Operacionais. Desta forma, fo</w:t>
      </w:r>
      <w:r>
        <w:rPr>
          <w:rFonts w:cs="Arial"/>
          <w:szCs w:val="24"/>
        </w:rPr>
        <w:t>i realizado um comparativo entre o ano de</w:t>
      </w:r>
      <w:r w:rsidRPr="00A53D96">
        <w:rPr>
          <w:rFonts w:cs="Arial"/>
          <w:szCs w:val="24"/>
        </w:rPr>
        <w:t xml:space="preserve"> 201</w:t>
      </w:r>
      <w:r w:rsidR="002C64C2">
        <w:rPr>
          <w:rFonts w:cs="Arial"/>
          <w:szCs w:val="24"/>
        </w:rPr>
        <w:t>3</w:t>
      </w:r>
      <w:r w:rsidRPr="00A53D96">
        <w:rPr>
          <w:rFonts w:cs="Arial"/>
          <w:szCs w:val="24"/>
        </w:rPr>
        <w:t xml:space="preserve"> e </w:t>
      </w:r>
      <w:r>
        <w:rPr>
          <w:rFonts w:cs="Arial"/>
          <w:szCs w:val="24"/>
        </w:rPr>
        <w:t>201</w:t>
      </w:r>
      <w:r w:rsidR="002C64C2">
        <w:rPr>
          <w:rFonts w:cs="Arial"/>
          <w:szCs w:val="24"/>
        </w:rPr>
        <w:t>4</w:t>
      </w:r>
      <w:r w:rsidRPr="00A53D96">
        <w:rPr>
          <w:rFonts w:cs="Arial"/>
          <w:szCs w:val="24"/>
        </w:rPr>
        <w:t>, cujos resultados são demonstrados a seguir:</w:t>
      </w:r>
    </w:p>
    <w:p w:rsidR="00BA57DF" w:rsidRPr="00A53D96" w:rsidRDefault="00BA57DF" w:rsidP="00BA57DF">
      <w:pPr>
        <w:spacing w:line="360" w:lineRule="auto"/>
        <w:jc w:val="center"/>
        <w:rPr>
          <w:rFonts w:cs="Arial"/>
          <w:szCs w:val="24"/>
        </w:rPr>
      </w:pPr>
    </w:p>
    <w:p w:rsidR="00BA57DF" w:rsidRPr="00A53D96" w:rsidRDefault="009842F2" w:rsidP="00BA57DF">
      <w:pPr>
        <w:spacing w:line="360" w:lineRule="auto"/>
        <w:jc w:val="center"/>
        <w:rPr>
          <w:rFonts w:cs="Arial"/>
          <w:szCs w:val="24"/>
        </w:rPr>
      </w:pPr>
      <w:r w:rsidRPr="009842F2">
        <w:rPr>
          <w:noProof/>
        </w:rPr>
        <w:drawing>
          <wp:inline distT="0" distB="0" distL="0" distR="0">
            <wp:extent cx="4848225" cy="10191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7DF" w:rsidRPr="00A53D96" w:rsidRDefault="00BA57DF" w:rsidP="00BA57DF">
      <w:pPr>
        <w:spacing w:line="360" w:lineRule="auto"/>
        <w:jc w:val="center"/>
        <w:rPr>
          <w:rFonts w:cs="Arial"/>
          <w:szCs w:val="24"/>
        </w:rPr>
      </w:pPr>
    </w:p>
    <w:p w:rsidR="002C64C2" w:rsidRPr="002C64C2" w:rsidRDefault="00BA57DF" w:rsidP="002C64C2">
      <w:pPr>
        <w:spacing w:line="360" w:lineRule="auto"/>
        <w:jc w:val="both"/>
        <w:rPr>
          <w:rFonts w:cs="Arial"/>
          <w:szCs w:val="24"/>
        </w:rPr>
      </w:pPr>
      <w:r w:rsidRPr="000450B4">
        <w:rPr>
          <w:rFonts w:cs="Arial"/>
          <w:szCs w:val="24"/>
        </w:rPr>
        <w:t xml:space="preserve">Conforme se percebe, na média, as Despesas Operacionais </w:t>
      </w:r>
      <w:r w:rsidR="001455A2">
        <w:rPr>
          <w:rFonts w:cs="Arial"/>
          <w:szCs w:val="24"/>
        </w:rPr>
        <w:t>no período analisado de</w:t>
      </w:r>
      <w:r w:rsidRPr="000450B4">
        <w:rPr>
          <w:rFonts w:cs="Arial"/>
          <w:szCs w:val="24"/>
        </w:rPr>
        <w:t xml:space="preserve">cresceram </w:t>
      </w:r>
      <w:r w:rsidR="002C64C2">
        <w:rPr>
          <w:rFonts w:cs="Arial"/>
          <w:szCs w:val="24"/>
        </w:rPr>
        <w:t>3,0</w:t>
      </w:r>
      <w:r w:rsidRPr="000450B4">
        <w:rPr>
          <w:rFonts w:cs="Arial"/>
          <w:szCs w:val="24"/>
        </w:rPr>
        <w:t xml:space="preserve">%, </w:t>
      </w:r>
      <w:r w:rsidR="002C64C2">
        <w:rPr>
          <w:rFonts w:cs="Arial"/>
          <w:szCs w:val="24"/>
        </w:rPr>
        <w:t xml:space="preserve">enquanto </w:t>
      </w:r>
      <w:r w:rsidRPr="000450B4">
        <w:rPr>
          <w:rFonts w:cs="Arial"/>
          <w:szCs w:val="24"/>
        </w:rPr>
        <w:t>as Receitas Operacionais</w:t>
      </w:r>
      <w:r w:rsidR="002C64C2">
        <w:rPr>
          <w:rFonts w:cs="Arial"/>
          <w:szCs w:val="24"/>
        </w:rPr>
        <w:t xml:space="preserve"> cresceram 0,6%</w:t>
      </w:r>
      <w:r w:rsidRPr="000450B4">
        <w:rPr>
          <w:rFonts w:cs="Arial"/>
          <w:szCs w:val="24"/>
        </w:rPr>
        <w:t xml:space="preserve">. </w:t>
      </w:r>
      <w:r w:rsidR="002C64C2" w:rsidRPr="002C64C2">
        <w:rPr>
          <w:rFonts w:cs="Arial"/>
          <w:szCs w:val="24"/>
        </w:rPr>
        <w:t>Este comportamento melhora os resultados da operação, pois temos mais receitas com menos despesas.</w:t>
      </w:r>
    </w:p>
    <w:p w:rsidR="00BA57DF" w:rsidRPr="00744CCF" w:rsidRDefault="001455A2" w:rsidP="00BA57DF">
      <w:pPr>
        <w:spacing w:line="360" w:lineRule="auto"/>
        <w:jc w:val="both"/>
        <w:rPr>
          <w:color w:val="000000"/>
          <w:szCs w:val="24"/>
        </w:rPr>
      </w:pPr>
      <w:r>
        <w:rPr>
          <w:rFonts w:cs="Arial"/>
          <w:szCs w:val="24"/>
        </w:rPr>
        <w:t xml:space="preserve"> </w:t>
      </w:r>
    </w:p>
    <w:p w:rsidR="00DD2222" w:rsidRPr="00744CCF" w:rsidRDefault="00556F64" w:rsidP="00E60F0E">
      <w:pPr>
        <w:pStyle w:val="Ttulo"/>
        <w:numPr>
          <w:ilvl w:val="1"/>
          <w:numId w:val="10"/>
        </w:numPr>
        <w:jc w:val="both"/>
      </w:pPr>
      <w:r>
        <w:br w:type="page"/>
      </w:r>
      <w:r w:rsidR="00DD2222" w:rsidRPr="00744CCF">
        <w:lastRenderedPageBreak/>
        <w:t>Recomendações</w:t>
      </w:r>
    </w:p>
    <w:p w:rsidR="00F6046C" w:rsidRPr="00744CCF" w:rsidRDefault="00F6046C" w:rsidP="009876C9">
      <w:pPr>
        <w:spacing w:line="360" w:lineRule="auto"/>
        <w:jc w:val="both"/>
        <w:rPr>
          <w:color w:val="FF0000"/>
          <w:szCs w:val="24"/>
        </w:rPr>
      </w:pPr>
    </w:p>
    <w:p w:rsidR="001A15B0" w:rsidRPr="00744CCF" w:rsidRDefault="001A15B0" w:rsidP="009876C9">
      <w:pPr>
        <w:spacing w:line="360" w:lineRule="auto"/>
        <w:jc w:val="both"/>
        <w:rPr>
          <w:color w:val="000000"/>
          <w:szCs w:val="24"/>
        </w:rPr>
      </w:pPr>
      <w:r w:rsidRPr="00744CCF">
        <w:rPr>
          <w:color w:val="000000"/>
          <w:szCs w:val="24"/>
        </w:rPr>
        <w:t xml:space="preserve">É importante destacar que a O.S. tem mantido um bom desempenho, que vem se tornando referência nacional dentro do modelo de Organização Social. Assim, as recomendações aqui descritas tem o intuito de </w:t>
      </w:r>
      <w:r w:rsidR="00294935" w:rsidRPr="00744CCF">
        <w:rPr>
          <w:color w:val="000000"/>
          <w:szCs w:val="24"/>
        </w:rPr>
        <w:t>orientar as ações de gestão da O.S. e pautar decisões importantes para o segundo semestre, que poderão refletir de forma determinante nos resultados da Organização.</w:t>
      </w:r>
    </w:p>
    <w:p w:rsidR="002303C9" w:rsidRDefault="00BA19C0" w:rsidP="009876C9">
      <w:pPr>
        <w:numPr>
          <w:ilvl w:val="0"/>
          <w:numId w:val="4"/>
        </w:numPr>
        <w:spacing w:line="360" w:lineRule="auto"/>
        <w:ind w:left="714" w:hanging="357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Manter os </w:t>
      </w:r>
      <w:r w:rsidR="0009132D" w:rsidRPr="00744CCF">
        <w:rPr>
          <w:color w:val="000000"/>
          <w:szCs w:val="24"/>
        </w:rPr>
        <w:t>esforços para atingir a meta do</w:t>
      </w:r>
      <w:r w:rsidR="002303C9" w:rsidRPr="00744CCF">
        <w:rPr>
          <w:color w:val="000000"/>
          <w:szCs w:val="24"/>
        </w:rPr>
        <w:t xml:space="preserve"> resultado aplicável (IRLA)</w:t>
      </w:r>
      <w:r w:rsidR="00D63F9E" w:rsidRPr="00744CCF">
        <w:rPr>
          <w:color w:val="000000"/>
          <w:szCs w:val="24"/>
        </w:rPr>
        <w:t xml:space="preserve">, </w:t>
      </w:r>
      <w:r w:rsidR="002303C9" w:rsidRPr="00744CCF">
        <w:rPr>
          <w:color w:val="000000"/>
          <w:szCs w:val="24"/>
        </w:rPr>
        <w:t>a fim de não comprometer recursos financeiros em longo prazo;</w:t>
      </w:r>
    </w:p>
    <w:p w:rsidR="00552888" w:rsidRDefault="00552888" w:rsidP="009876C9">
      <w:pPr>
        <w:numPr>
          <w:ilvl w:val="0"/>
          <w:numId w:val="4"/>
        </w:numPr>
        <w:spacing w:line="360" w:lineRule="auto"/>
        <w:jc w:val="both"/>
        <w:rPr>
          <w:color w:val="000000"/>
          <w:szCs w:val="24"/>
        </w:rPr>
      </w:pPr>
      <w:r w:rsidRPr="00552888">
        <w:rPr>
          <w:color w:val="000000"/>
          <w:szCs w:val="24"/>
        </w:rPr>
        <w:t>Cont</w:t>
      </w:r>
      <w:r w:rsidR="00637AB8">
        <w:rPr>
          <w:color w:val="000000"/>
          <w:szCs w:val="24"/>
        </w:rPr>
        <w:t>inuar o controle sobre</w:t>
      </w:r>
      <w:r w:rsidRPr="00552888">
        <w:rPr>
          <w:color w:val="000000"/>
          <w:szCs w:val="24"/>
        </w:rPr>
        <w:t xml:space="preserve"> investimentos de forma a evitar comprometimento demasiado de recursos próprios.</w:t>
      </w:r>
    </w:p>
    <w:p w:rsidR="004D3DD5" w:rsidRPr="00744CCF" w:rsidRDefault="00CB445E" w:rsidP="004D3DD5">
      <w:pPr>
        <w:numPr>
          <w:ilvl w:val="0"/>
          <w:numId w:val="4"/>
        </w:numPr>
        <w:spacing w:line="360" w:lineRule="auto"/>
        <w:jc w:val="both"/>
        <w:rPr>
          <w:color w:val="000000"/>
          <w:szCs w:val="24"/>
        </w:rPr>
      </w:pPr>
      <w:r>
        <w:rPr>
          <w:color w:val="000000"/>
          <w:szCs w:val="24"/>
        </w:rPr>
        <w:t>A</w:t>
      </w:r>
      <w:r w:rsidR="004D3DD5" w:rsidRPr="004D3DD5">
        <w:rPr>
          <w:color w:val="000000"/>
          <w:szCs w:val="24"/>
        </w:rPr>
        <w:t xml:space="preserve"> magnitude das ações realizadas pela O.S e o seu impacto social deveria ter um espaço maior na mídia em geral. Entende-se que as ações da assessoria de imprensa poderiam ser mais intensas nesse sentido.</w:t>
      </w:r>
    </w:p>
    <w:p w:rsidR="009A29AD" w:rsidRDefault="00C23B97" w:rsidP="009876C9">
      <w:pPr>
        <w:numPr>
          <w:ilvl w:val="0"/>
          <w:numId w:val="4"/>
        </w:numPr>
        <w:spacing w:line="360" w:lineRule="auto"/>
        <w:ind w:left="714" w:hanging="357"/>
        <w:jc w:val="both"/>
        <w:rPr>
          <w:color w:val="000000"/>
          <w:szCs w:val="24"/>
        </w:rPr>
      </w:pPr>
      <w:r w:rsidRPr="00744CCF">
        <w:rPr>
          <w:color w:val="000000"/>
          <w:szCs w:val="24"/>
        </w:rPr>
        <w:t>Proporcionar maior agilidade nas informações a fim de não comprometer os prazos de lançamento dos registros contábeis</w:t>
      </w:r>
      <w:r w:rsidR="00485CC7">
        <w:rPr>
          <w:color w:val="000000"/>
          <w:szCs w:val="24"/>
        </w:rPr>
        <w:t xml:space="preserve"> e da interpretação das informações em tem hábil</w:t>
      </w:r>
      <w:r w:rsidRPr="00744CCF">
        <w:rPr>
          <w:color w:val="000000"/>
          <w:szCs w:val="24"/>
        </w:rPr>
        <w:t>.</w:t>
      </w:r>
    </w:p>
    <w:p w:rsidR="00637AB8" w:rsidRDefault="00637AB8" w:rsidP="009876C9">
      <w:pPr>
        <w:numPr>
          <w:ilvl w:val="0"/>
          <w:numId w:val="4"/>
        </w:numPr>
        <w:spacing w:line="360" w:lineRule="auto"/>
        <w:ind w:left="714" w:hanging="357"/>
        <w:jc w:val="both"/>
        <w:rPr>
          <w:color w:val="000000"/>
          <w:szCs w:val="24"/>
        </w:rPr>
      </w:pPr>
      <w:r>
        <w:rPr>
          <w:color w:val="000000"/>
          <w:szCs w:val="24"/>
        </w:rPr>
        <w:t>Acompanhar os indicadores de volumes c</w:t>
      </w:r>
      <w:r w:rsidR="009876C9">
        <w:rPr>
          <w:color w:val="000000"/>
          <w:szCs w:val="24"/>
        </w:rPr>
        <w:t>omercializados haja vista as perspectivas pessimistas para a economia no ano de 2015.</w:t>
      </w:r>
    </w:p>
    <w:p w:rsidR="009876C9" w:rsidRPr="009876C9" w:rsidRDefault="009876C9" w:rsidP="009876C9">
      <w:pPr>
        <w:spacing w:line="360" w:lineRule="auto"/>
        <w:jc w:val="both"/>
        <w:rPr>
          <w:color w:val="000000"/>
          <w:sz w:val="14"/>
          <w:szCs w:val="24"/>
        </w:rPr>
      </w:pPr>
    </w:p>
    <w:p w:rsidR="00556F64" w:rsidRDefault="00556F64" w:rsidP="009876C9">
      <w:pPr>
        <w:spacing w:line="360" w:lineRule="auto"/>
        <w:jc w:val="both"/>
        <w:rPr>
          <w:color w:val="000000"/>
          <w:szCs w:val="24"/>
        </w:rPr>
      </w:pPr>
      <w:r w:rsidRPr="00556F64">
        <w:rPr>
          <w:color w:val="000000"/>
          <w:szCs w:val="24"/>
        </w:rPr>
        <w:t xml:space="preserve">Cabe salientar que a </w:t>
      </w:r>
      <w:r w:rsidR="00BA19C0">
        <w:rPr>
          <w:color w:val="000000"/>
          <w:szCs w:val="24"/>
        </w:rPr>
        <w:t>CEASA-</w:t>
      </w:r>
      <w:r w:rsidRPr="00556F64">
        <w:rPr>
          <w:color w:val="000000"/>
          <w:szCs w:val="24"/>
        </w:rPr>
        <w:t>O.S. tem mantido um bom desempenho</w:t>
      </w:r>
      <w:r w:rsidR="00BA19C0">
        <w:rPr>
          <w:color w:val="000000"/>
          <w:szCs w:val="24"/>
        </w:rPr>
        <w:t xml:space="preserve">, conseguindo </w:t>
      </w:r>
      <w:r w:rsidR="00830305">
        <w:rPr>
          <w:color w:val="000000"/>
          <w:szCs w:val="24"/>
        </w:rPr>
        <w:t xml:space="preserve">manter </w:t>
      </w:r>
      <w:r w:rsidR="00BA19C0">
        <w:rPr>
          <w:color w:val="000000"/>
          <w:szCs w:val="24"/>
        </w:rPr>
        <w:t xml:space="preserve">o quadro favorável </w:t>
      </w:r>
      <w:r w:rsidR="00830305">
        <w:rPr>
          <w:color w:val="000000"/>
          <w:szCs w:val="24"/>
        </w:rPr>
        <w:t>alcançado em 2013</w:t>
      </w:r>
      <w:r w:rsidR="00BA19C0">
        <w:rPr>
          <w:color w:val="000000"/>
          <w:szCs w:val="24"/>
        </w:rPr>
        <w:t>, o que demonstra consistência na condução das estratégias e gerenciamentos das operações</w:t>
      </w:r>
      <w:r w:rsidRPr="00556F64">
        <w:rPr>
          <w:color w:val="000000"/>
          <w:szCs w:val="24"/>
        </w:rPr>
        <w:t>.</w:t>
      </w:r>
    </w:p>
    <w:p w:rsidR="001455A2" w:rsidRPr="00556F64" w:rsidRDefault="001455A2" w:rsidP="009876C9">
      <w:pPr>
        <w:spacing w:line="360" w:lineRule="auto"/>
        <w:jc w:val="both"/>
        <w:rPr>
          <w:color w:val="000000"/>
          <w:szCs w:val="24"/>
        </w:rPr>
      </w:pPr>
    </w:p>
    <w:p w:rsidR="004C513A" w:rsidRPr="00744CCF" w:rsidRDefault="004C513A" w:rsidP="009876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Recife, </w:t>
      </w:r>
      <w:r w:rsidR="00CB3B0E">
        <w:rPr>
          <w:szCs w:val="24"/>
        </w:rPr>
        <w:t>22</w:t>
      </w:r>
      <w:r w:rsidR="00B352CD" w:rsidRPr="00744CCF">
        <w:rPr>
          <w:szCs w:val="24"/>
        </w:rPr>
        <w:t xml:space="preserve"> de </w:t>
      </w:r>
      <w:r w:rsidR="00CB3B0E">
        <w:rPr>
          <w:szCs w:val="24"/>
        </w:rPr>
        <w:t>março</w:t>
      </w:r>
      <w:r w:rsidR="00556F64">
        <w:rPr>
          <w:szCs w:val="24"/>
        </w:rPr>
        <w:t xml:space="preserve"> </w:t>
      </w:r>
      <w:r w:rsidRPr="00744CCF">
        <w:rPr>
          <w:szCs w:val="24"/>
        </w:rPr>
        <w:t>de 201</w:t>
      </w:r>
      <w:r w:rsidR="009876C9">
        <w:rPr>
          <w:szCs w:val="24"/>
        </w:rPr>
        <w:t>5</w:t>
      </w:r>
      <w:r w:rsidRPr="00744CCF">
        <w:rPr>
          <w:szCs w:val="24"/>
        </w:rPr>
        <w:t>.</w:t>
      </w:r>
      <w:bookmarkStart w:id="0" w:name="_GoBack"/>
      <w:bookmarkEnd w:id="0"/>
    </w:p>
    <w:p w:rsidR="00D563C8" w:rsidRDefault="00D14E59" w:rsidP="009876C9">
      <w:pPr>
        <w:spacing w:line="360" w:lineRule="auto"/>
        <w:jc w:val="both"/>
        <w:rPr>
          <w:rFonts w:cs="Arial"/>
        </w:rPr>
      </w:pPr>
      <w:r w:rsidRPr="00744CCF">
        <w:rPr>
          <w:noProof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12700</wp:posOffset>
            </wp:positionV>
            <wp:extent cx="2171700" cy="1508673"/>
            <wp:effectExtent l="0" t="0" r="0" b="0"/>
            <wp:wrapNone/>
            <wp:docPr id="277" name="Imagem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0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63C8" w:rsidRDefault="00D563C8" w:rsidP="009876C9">
      <w:pPr>
        <w:spacing w:line="360" w:lineRule="auto"/>
        <w:rPr>
          <w:rFonts w:cs="Arial"/>
        </w:rPr>
      </w:pPr>
    </w:p>
    <w:p w:rsidR="00D563C8" w:rsidRDefault="00D563C8" w:rsidP="009876C9">
      <w:pPr>
        <w:spacing w:line="360" w:lineRule="auto"/>
        <w:rPr>
          <w:rFonts w:cs="Arial"/>
        </w:rPr>
      </w:pPr>
    </w:p>
    <w:p w:rsidR="00D563C8" w:rsidRDefault="00D563C8" w:rsidP="009876C9">
      <w:pPr>
        <w:spacing w:line="360" w:lineRule="auto"/>
        <w:rPr>
          <w:rFonts w:cs="Arial"/>
        </w:rPr>
      </w:pPr>
    </w:p>
    <w:p w:rsidR="00D563C8" w:rsidRDefault="00D563C8" w:rsidP="00D563C8">
      <w:pPr>
        <w:rPr>
          <w:rFonts w:cs="Arial"/>
        </w:rPr>
      </w:pPr>
    </w:p>
    <w:p w:rsidR="00D563C8" w:rsidRDefault="00D563C8" w:rsidP="00D563C8">
      <w:pPr>
        <w:rPr>
          <w:rFonts w:cs="Arial"/>
        </w:rPr>
      </w:pPr>
    </w:p>
    <w:p w:rsidR="00D563C8" w:rsidRDefault="00D563C8" w:rsidP="00D563C8">
      <w:pPr>
        <w:rPr>
          <w:rFonts w:cs="Arial"/>
        </w:rPr>
      </w:pPr>
    </w:p>
    <w:p w:rsidR="009876C9" w:rsidRDefault="009876C9">
      <w:pPr>
        <w:rPr>
          <w:rFonts w:cs="Arial"/>
        </w:rPr>
      </w:pPr>
      <w:r>
        <w:rPr>
          <w:rFonts w:cs="Arial"/>
        </w:rPr>
        <w:br w:type="page"/>
      </w:r>
    </w:p>
    <w:p w:rsidR="009876C9" w:rsidRPr="00E87E0B" w:rsidRDefault="009876C9" w:rsidP="00D563C8">
      <w:pPr>
        <w:rPr>
          <w:rFonts w:cs="Arial"/>
        </w:rPr>
      </w:pPr>
    </w:p>
    <w:p w:rsidR="00D563C8" w:rsidRPr="00E87E0B" w:rsidRDefault="00D563C8" w:rsidP="00D563C8">
      <w:pPr>
        <w:jc w:val="center"/>
        <w:rPr>
          <w:rFonts w:cs="Arial"/>
          <w:color w:val="000000"/>
        </w:rPr>
      </w:pPr>
    </w:p>
    <w:p w:rsidR="00D563C8" w:rsidRPr="00E87E0B" w:rsidRDefault="00D563C8" w:rsidP="00D563C8">
      <w:pPr>
        <w:rPr>
          <w:rFonts w:cs="Arial"/>
          <w:color w:val="000000"/>
        </w:rPr>
      </w:pPr>
    </w:p>
    <w:p w:rsidR="00D563C8" w:rsidRDefault="00D563C8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Pr="00E87E0B" w:rsidRDefault="009876C9" w:rsidP="00D563C8">
      <w:pPr>
        <w:rPr>
          <w:rFonts w:cs="Arial"/>
          <w:color w:val="000000"/>
        </w:rPr>
      </w:pPr>
    </w:p>
    <w:p w:rsidR="00D563C8" w:rsidRPr="00E87E0B" w:rsidRDefault="00D563C8" w:rsidP="00D563C8">
      <w:pPr>
        <w:rPr>
          <w:rFonts w:cs="Arial"/>
          <w:color w:val="000000"/>
        </w:rPr>
      </w:pPr>
    </w:p>
    <w:p w:rsidR="00D563C8" w:rsidRPr="00E87E0B" w:rsidRDefault="00D563C8" w:rsidP="00D563C8">
      <w:pPr>
        <w:rPr>
          <w:rFonts w:cs="Arial"/>
          <w:color w:val="000000"/>
        </w:rPr>
      </w:pPr>
    </w:p>
    <w:p w:rsidR="00D563C8" w:rsidRPr="00E87E0B" w:rsidRDefault="009876C9" w:rsidP="009876C9">
      <w:pPr>
        <w:jc w:val="center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>
            <wp:extent cx="4295554" cy="1403498"/>
            <wp:effectExtent l="0" t="0" r="0" b="6350"/>
            <wp:docPr id="275" name="Image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Logo VH - 201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018" cy="1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C8" w:rsidRPr="00E87E0B" w:rsidRDefault="00D563C8" w:rsidP="00D563C8">
      <w:pPr>
        <w:rPr>
          <w:rFonts w:cs="Arial"/>
          <w:color w:val="000000"/>
        </w:rPr>
      </w:pPr>
    </w:p>
    <w:p w:rsidR="00D563C8" w:rsidRDefault="00D563C8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Pr="00E87E0B" w:rsidRDefault="009876C9" w:rsidP="00D563C8">
      <w:pPr>
        <w:rPr>
          <w:rFonts w:cs="Arial"/>
          <w:color w:val="000000"/>
        </w:rPr>
      </w:pPr>
    </w:p>
    <w:p w:rsidR="00D563C8" w:rsidRPr="00E87E0B" w:rsidRDefault="00D563C8" w:rsidP="00D563C8">
      <w:pPr>
        <w:rPr>
          <w:rFonts w:cs="Arial"/>
          <w:color w:val="000000"/>
        </w:rPr>
      </w:pPr>
    </w:p>
    <w:p w:rsidR="00D563C8" w:rsidRPr="00E87E0B" w:rsidRDefault="00D563C8" w:rsidP="00D563C8">
      <w:pPr>
        <w:jc w:val="center"/>
        <w:rPr>
          <w:rFonts w:cs="Arial"/>
          <w:color w:val="000000"/>
        </w:rPr>
      </w:pPr>
      <w:r w:rsidRPr="00E87E0B">
        <w:rPr>
          <w:rFonts w:cs="Arial"/>
          <w:color w:val="000000"/>
        </w:rPr>
        <w:t>(81) 3083.1873</w:t>
      </w:r>
    </w:p>
    <w:p w:rsidR="00D563C8" w:rsidRPr="00E87E0B" w:rsidRDefault="00D563C8" w:rsidP="00D563C8">
      <w:pPr>
        <w:jc w:val="center"/>
        <w:rPr>
          <w:rFonts w:cs="Arial"/>
          <w:color w:val="000000"/>
        </w:rPr>
      </w:pPr>
      <w:r w:rsidRPr="00E87E0B">
        <w:rPr>
          <w:rFonts w:cs="Arial"/>
          <w:color w:val="000000"/>
        </w:rPr>
        <w:t>Recife – PE</w:t>
      </w:r>
    </w:p>
    <w:p w:rsidR="00D563C8" w:rsidRPr="00E87E0B" w:rsidRDefault="00D563C8" w:rsidP="00D563C8">
      <w:pPr>
        <w:jc w:val="center"/>
        <w:rPr>
          <w:rFonts w:cs="Arial"/>
          <w:color w:val="000000"/>
        </w:rPr>
      </w:pPr>
    </w:p>
    <w:p w:rsidR="00D563C8" w:rsidRPr="00E87E0B" w:rsidRDefault="000A0CB8" w:rsidP="00D563C8">
      <w:pPr>
        <w:pStyle w:val="Corpodetexto"/>
        <w:tabs>
          <w:tab w:val="left" w:pos="0"/>
        </w:tabs>
        <w:spacing w:line="360" w:lineRule="auto"/>
        <w:jc w:val="center"/>
        <w:rPr>
          <w:rFonts w:cs="Arial"/>
          <w:color w:val="000000"/>
        </w:rPr>
      </w:pPr>
      <w:hyperlink r:id="rId38" w:history="1">
        <w:r w:rsidR="00D563C8" w:rsidRPr="00E87E0B">
          <w:rPr>
            <w:rStyle w:val="Hyperlink"/>
            <w:rFonts w:eastAsiaTheme="majorEastAsia" w:cs="Arial"/>
            <w:color w:val="000000"/>
          </w:rPr>
          <w:t>www.vhconsultores.com.br</w:t>
        </w:r>
      </w:hyperlink>
    </w:p>
    <w:p w:rsidR="00D563C8" w:rsidRPr="00E87E0B" w:rsidRDefault="000A0CB8" w:rsidP="00D563C8">
      <w:pPr>
        <w:pStyle w:val="Corpodetexto"/>
        <w:tabs>
          <w:tab w:val="left" w:pos="0"/>
        </w:tabs>
        <w:spacing w:line="360" w:lineRule="auto"/>
        <w:jc w:val="center"/>
        <w:rPr>
          <w:rFonts w:cs="Arial"/>
          <w:color w:val="000000"/>
        </w:rPr>
      </w:pPr>
      <w:hyperlink r:id="rId39" w:history="1">
        <w:r w:rsidR="00D563C8" w:rsidRPr="00E87E0B">
          <w:rPr>
            <w:rStyle w:val="Hyperlink"/>
            <w:rFonts w:eastAsiaTheme="majorEastAsia" w:cs="Arial"/>
            <w:color w:val="000000"/>
          </w:rPr>
          <w:t>comercial@vhconsultores.com.br</w:t>
        </w:r>
      </w:hyperlink>
    </w:p>
    <w:p w:rsidR="00D563C8" w:rsidRPr="00E87E0B" w:rsidRDefault="00D563C8" w:rsidP="00D563C8">
      <w:pPr>
        <w:pStyle w:val="Corpodetexto"/>
        <w:tabs>
          <w:tab w:val="left" w:pos="0"/>
        </w:tabs>
        <w:spacing w:line="360" w:lineRule="auto"/>
        <w:rPr>
          <w:rFonts w:cs="Arial"/>
          <w:color w:val="000000"/>
        </w:rPr>
      </w:pPr>
    </w:p>
    <w:p w:rsidR="00D563C8" w:rsidRDefault="00D563C8" w:rsidP="00D563C8"/>
    <w:p w:rsidR="00C23B97" w:rsidRPr="00744CCF" w:rsidRDefault="00C23B97" w:rsidP="00556F64">
      <w:pPr>
        <w:spacing w:line="480" w:lineRule="auto"/>
        <w:jc w:val="both"/>
        <w:rPr>
          <w:szCs w:val="24"/>
        </w:rPr>
      </w:pPr>
    </w:p>
    <w:sectPr w:rsidR="00C23B97" w:rsidRPr="00744CCF" w:rsidSect="00DE1918">
      <w:pgSz w:w="11907" w:h="16840" w:code="9"/>
      <w:pgMar w:top="1134" w:right="1134" w:bottom="1134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9A7" w:rsidRDefault="00E329A7">
      <w:r>
        <w:separator/>
      </w:r>
    </w:p>
  </w:endnote>
  <w:endnote w:type="continuationSeparator" w:id="0">
    <w:p w:rsidR="00E329A7" w:rsidRDefault="00E329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nkGothic Md BT">
    <w:altName w:val="Arial"/>
    <w:charset w:val="00"/>
    <w:family w:val="swiss"/>
    <w:pitch w:val="variable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411" w:rsidRPr="00046E8E" w:rsidRDefault="000A0CB8" w:rsidP="007F6FF5">
    <w:pPr>
      <w:rPr>
        <w:sz w:val="18"/>
        <w:szCs w:val="18"/>
      </w:rPr>
    </w:pPr>
    <w:r w:rsidRPr="000A0CB8">
      <w:rPr>
        <w:rStyle w:val="Forte"/>
      </w:rPr>
      <w:pict>
        <v:line id="Line 69" o:spid="_x0000_s30721" style="position:absolute;flip:y;z-index:251656192;visibility:visible;mso-position-vertical-relative:page" from="-2.85pt,779.1pt" to="466.15pt,7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" strokecolor="#396" strokeweight="1pt">
          <w10:wrap anchory="page"/>
        </v:line>
      </w:pict>
    </w:r>
    <w:r w:rsidR="00273411" w:rsidRPr="00046E8E">
      <w:rPr>
        <w:rStyle w:val="Forte"/>
        <w:sz w:val="18"/>
        <w:szCs w:val="18"/>
      </w:rPr>
      <w:t>Indicadores de Desempenho 201</w:t>
    </w:r>
    <w:r w:rsidR="00273411">
      <w:rPr>
        <w:rStyle w:val="Forte"/>
        <w:sz w:val="18"/>
        <w:szCs w:val="18"/>
      </w:rPr>
      <w:t>4 – T4</w:t>
    </w:r>
    <w:r w:rsidR="00273411" w:rsidRPr="00D14E59">
      <w:rPr>
        <w:sz w:val="18"/>
        <w:szCs w:val="18"/>
      </w:rPr>
      <w:tab/>
    </w:r>
    <w:r w:rsidR="00273411" w:rsidRPr="00D14E59">
      <w:rPr>
        <w:sz w:val="18"/>
        <w:szCs w:val="18"/>
      </w:rPr>
      <w:tab/>
    </w:r>
    <w:r w:rsidR="00273411" w:rsidRPr="00D14E59">
      <w:rPr>
        <w:sz w:val="18"/>
        <w:szCs w:val="18"/>
      </w:rPr>
      <w:tab/>
    </w:r>
    <w:r w:rsidR="00273411" w:rsidRPr="00D14E59">
      <w:rPr>
        <w:sz w:val="18"/>
        <w:szCs w:val="18"/>
      </w:rPr>
      <w:tab/>
    </w:r>
    <w:r w:rsidR="00273411" w:rsidRPr="00D14E59">
      <w:rPr>
        <w:sz w:val="18"/>
        <w:szCs w:val="18"/>
      </w:rPr>
      <w:tab/>
    </w:r>
    <w:r w:rsidR="00273411" w:rsidRPr="00D14E59">
      <w:rPr>
        <w:sz w:val="18"/>
        <w:szCs w:val="18"/>
      </w:rPr>
      <w:tab/>
    </w:r>
    <w:r w:rsidR="00273411" w:rsidRPr="00D14E59">
      <w:rPr>
        <w:sz w:val="18"/>
        <w:szCs w:val="18"/>
      </w:rPr>
      <w:tab/>
    </w:r>
    <w:r w:rsidR="00273411" w:rsidRPr="00D14E59">
      <w:rPr>
        <w:sz w:val="18"/>
        <w:szCs w:val="18"/>
      </w:rPr>
      <w:tab/>
    </w:r>
    <w:r w:rsidRPr="00046E8E">
      <w:rPr>
        <w:rStyle w:val="Nmerodepgina"/>
        <w:rFonts w:ascii="Arial Narrow" w:hAnsi="Arial Narrow"/>
        <w:i/>
        <w:iCs/>
        <w:sz w:val="18"/>
        <w:szCs w:val="18"/>
      </w:rPr>
      <w:fldChar w:fldCharType="begin"/>
    </w:r>
    <w:r w:rsidR="00273411" w:rsidRPr="00046E8E">
      <w:rPr>
        <w:rStyle w:val="Nmerodepgina"/>
        <w:rFonts w:ascii="Arial Narrow" w:hAnsi="Arial Narrow"/>
        <w:i/>
        <w:iCs/>
        <w:sz w:val="18"/>
        <w:szCs w:val="18"/>
      </w:rPr>
      <w:instrText xml:space="preserve"> PAGE </w:instrText>
    </w:r>
    <w:r w:rsidRPr="00046E8E">
      <w:rPr>
        <w:rStyle w:val="Nmerodepgina"/>
        <w:rFonts w:ascii="Arial Narrow" w:hAnsi="Arial Narrow"/>
        <w:i/>
        <w:iCs/>
        <w:sz w:val="18"/>
        <w:szCs w:val="18"/>
      </w:rPr>
      <w:fldChar w:fldCharType="separate"/>
    </w:r>
    <w:r w:rsidR="00E844B8">
      <w:rPr>
        <w:rStyle w:val="Nmerodepgina"/>
        <w:rFonts w:ascii="Arial Narrow" w:hAnsi="Arial Narrow"/>
        <w:i/>
        <w:iCs/>
        <w:noProof/>
        <w:sz w:val="18"/>
        <w:szCs w:val="18"/>
      </w:rPr>
      <w:t>30</w:t>
    </w:r>
    <w:r w:rsidRPr="00046E8E">
      <w:rPr>
        <w:rStyle w:val="Nmerodepgina"/>
        <w:rFonts w:ascii="Arial Narrow" w:hAnsi="Arial Narrow"/>
        <w:i/>
        <w:iCs/>
        <w:sz w:val="18"/>
        <w:szCs w:val="18"/>
      </w:rPr>
      <w:fldChar w:fldCharType="end"/>
    </w:r>
  </w:p>
  <w:p w:rsidR="00273411" w:rsidRDefault="00273411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9A7" w:rsidRDefault="00E329A7">
      <w:r>
        <w:separator/>
      </w:r>
    </w:p>
  </w:footnote>
  <w:footnote w:type="continuationSeparator" w:id="0">
    <w:p w:rsidR="00E329A7" w:rsidRDefault="00E329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411" w:rsidRPr="00D14E59" w:rsidRDefault="00273411" w:rsidP="00E94041">
    <w:pPr>
      <w:pStyle w:val="Ttulo5"/>
      <w:tabs>
        <w:tab w:val="left" w:pos="0"/>
        <w:tab w:val="left" w:pos="2552"/>
        <w:tab w:val="left" w:pos="7938"/>
        <w:tab w:val="right" w:pos="9072"/>
      </w:tabs>
      <w:jc w:val="left"/>
      <w:rPr>
        <w:rFonts w:ascii="Tahoma" w:hAnsi="Tahoma"/>
        <w:b w:val="0"/>
        <w:color w:val="008000"/>
        <w:sz w:val="20"/>
      </w:rPr>
    </w:pPr>
    <w:r>
      <w:rPr>
        <w:noProof/>
      </w:rPr>
      <w:drawing>
        <wp:inline distT="0" distB="0" distL="0" distR="0">
          <wp:extent cx="1276350" cy="409575"/>
          <wp:effectExtent l="0" t="0" r="0" b="9525"/>
          <wp:docPr id="6" name="Imagem 6" descr="Logo VH -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H -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14E59">
      <w:rPr>
        <w:rFonts w:ascii="Tahoma" w:hAnsi="Tahoma"/>
        <w:b w:val="0"/>
        <w:color w:val="008000"/>
        <w:sz w:val="20"/>
      </w:rPr>
      <w:tab/>
      <w:t xml:space="preserve">                           </w:t>
    </w:r>
    <w:r w:rsidRPr="00D14E59">
      <w:rPr>
        <w:rFonts w:ascii="Tahoma" w:hAnsi="Tahoma"/>
        <w:b w:val="0"/>
        <w:noProof/>
        <w:color w:val="008000"/>
        <w:sz w:val="20"/>
      </w:rPr>
      <w:drawing>
        <wp:inline distT="0" distB="0" distL="0" distR="0">
          <wp:extent cx="762000" cy="390525"/>
          <wp:effectExtent l="0" t="0" r="0" b="9525"/>
          <wp:docPr id="344" name="Imagem 344" descr="Logo50an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50an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73411" w:rsidRPr="00D14E59" w:rsidRDefault="00273411" w:rsidP="00E94041">
    <w:pPr>
      <w:pStyle w:val="Ttulo5"/>
      <w:tabs>
        <w:tab w:val="left" w:pos="0"/>
        <w:tab w:val="left" w:pos="2552"/>
        <w:tab w:val="left" w:pos="7938"/>
        <w:tab w:val="right" w:pos="9072"/>
      </w:tabs>
      <w:jc w:val="left"/>
      <w:rPr>
        <w:rFonts w:ascii="Tahoma" w:hAnsi="Tahoma"/>
        <w:b w:val="0"/>
        <w:color w:val="008000"/>
        <w:sz w:val="20"/>
      </w:rPr>
    </w:pPr>
    <w:r w:rsidRPr="00B43184">
      <w:rPr>
        <w:rFonts w:ascii="Tahoma" w:hAnsi="Tahoma"/>
        <w:b w:val="0"/>
        <w:color w:val="008000"/>
        <w:sz w:val="20"/>
      </w:rPr>
      <w:t xml:space="preserve">         </w:t>
    </w:r>
    <w:r w:rsidRPr="00B43184">
      <w:rPr>
        <w:rFonts w:ascii="Tahoma" w:hAnsi="Tahoma"/>
        <w:color w:val="C00000"/>
        <w:sz w:val="16"/>
      </w:rPr>
      <w:t>20 ANOS</w:t>
    </w:r>
    <w:r w:rsidRPr="00B43184">
      <w:rPr>
        <w:rFonts w:ascii="Tahoma" w:hAnsi="Tahoma"/>
        <w:b w:val="0"/>
        <w:color w:val="008000"/>
        <w:sz w:val="20"/>
      </w:rPr>
      <w:t xml:space="preserve">                       </w:t>
    </w:r>
    <w:r w:rsidRPr="00D14E59">
      <w:rPr>
        <w:rFonts w:ascii="Tahoma" w:hAnsi="Tahoma"/>
        <w:b w:val="0"/>
        <w:color w:val="008000"/>
        <w:sz w:val="20"/>
      </w:rPr>
      <w:t>Núcleo de Gestão CEASA-PE – Organização Social</w:t>
    </w:r>
    <w:r>
      <w:rPr>
        <w:rFonts w:ascii="Tahoma" w:hAnsi="Tahoma"/>
        <w:b w:val="0"/>
        <w:color w:val="008000"/>
        <w:sz w:val="20"/>
      </w:rPr>
      <w:tab/>
    </w:r>
    <w:r w:rsidRPr="00D14E59">
      <w:rPr>
        <w:rFonts w:ascii="Tahoma" w:hAnsi="Tahoma"/>
        <w:b w:val="0"/>
        <w:color w:val="008000"/>
        <w:sz w:val="20"/>
      </w:rPr>
      <w:tab/>
    </w:r>
  </w:p>
  <w:p w:rsidR="00273411" w:rsidRDefault="000A0CB8">
    <w:pPr>
      <w:pStyle w:val="Cabealho"/>
    </w:pPr>
    <w:r w:rsidRPr="000A0CB8">
      <w:rPr>
        <w:noProof/>
        <w:sz w:val="20"/>
      </w:rPr>
      <w:pict>
        <v:line id="Line 150" o:spid="_x0000_s30722" style="position:absolute;flip:y;z-index:251657216;visibility:visible;mso-position-vertical-relative:page" from="1.3pt,83.1pt" to="470.3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" strokecolor="#396" strokeweight="1pt">
          <w10:wrap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411" w:rsidRDefault="00273411">
    <w:pPr>
      <w:pStyle w:val="Ttulo1"/>
      <w:jc w:val="right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ab/>
    </w:r>
  </w:p>
  <w:p w:rsidR="00273411" w:rsidRDefault="00273411">
    <w:pPr>
      <w:pStyle w:val="Ttulo1"/>
      <w:jc w:val="right"/>
      <w:rPr>
        <w:rFonts w:ascii="Arial Narrow" w:hAnsi="Arial Narrow"/>
        <w:sz w:val="20"/>
      </w:rPr>
    </w:pPr>
  </w:p>
  <w:p w:rsidR="00273411" w:rsidRDefault="00273411">
    <w:pPr>
      <w:pStyle w:val="Ttulo5"/>
      <w:tabs>
        <w:tab w:val="left" w:pos="0"/>
        <w:tab w:val="right" w:pos="9072"/>
      </w:tabs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612D"/>
    <w:multiLevelType w:val="singleLevel"/>
    <w:tmpl w:val="EB9C5A50"/>
    <w:lvl w:ilvl="0">
      <w:start w:val="1"/>
      <w:numFmt w:val="upperRoman"/>
      <w:pStyle w:val="Ttulo6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</w:abstractNum>
  <w:abstractNum w:abstractNumId="1">
    <w:nsid w:val="18D30232"/>
    <w:multiLevelType w:val="multilevel"/>
    <w:tmpl w:val="AF98E4D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D596EDC"/>
    <w:multiLevelType w:val="hybridMultilevel"/>
    <w:tmpl w:val="9C32B924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3D5499"/>
    <w:multiLevelType w:val="hybridMultilevel"/>
    <w:tmpl w:val="8A5C6260"/>
    <w:lvl w:ilvl="0" w:tplc="40206832">
      <w:start w:val="1"/>
      <w:numFmt w:val="bullet"/>
      <w:lvlText w:val="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0A6F52"/>
    <w:multiLevelType w:val="hybridMultilevel"/>
    <w:tmpl w:val="CFAA256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2FD1B15"/>
    <w:multiLevelType w:val="multilevel"/>
    <w:tmpl w:val="8A5C58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1A02435"/>
    <w:multiLevelType w:val="multilevel"/>
    <w:tmpl w:val="68144F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A3701E5"/>
    <w:multiLevelType w:val="hybridMultilevel"/>
    <w:tmpl w:val="BF36157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425BC6"/>
    <w:multiLevelType w:val="singleLevel"/>
    <w:tmpl w:val="E51ABDF8"/>
    <w:lvl w:ilvl="0">
      <w:start w:val="1"/>
      <w:numFmt w:val="upperRoman"/>
      <w:pStyle w:val="Ttulo3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</w:abstractNum>
  <w:abstractNum w:abstractNumId="9">
    <w:nsid w:val="7A5A186F"/>
    <w:multiLevelType w:val="multilevel"/>
    <w:tmpl w:val="C20E26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9"/>
  </w:num>
  <w:num w:numId="9">
    <w:abstractNumId w:val="4"/>
  </w:num>
  <w:num w:numId="10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6">
      <v:stroke endarrow="classic" endarrowwidth="wide" endarrowlength="long"/>
    </o:shapedefaults>
    <o:shapelayout v:ext="edit">
      <o:idmap v:ext="edit" data="30"/>
    </o:shapelayout>
  </w:hdrShapeDefaults>
  <w:footnotePr>
    <w:footnote w:id="-1"/>
    <w:footnote w:id="0"/>
  </w:footnotePr>
  <w:endnotePr>
    <w:endnote w:id="-1"/>
    <w:endnote w:id="0"/>
  </w:endnotePr>
  <w:compat/>
  <w:rsids>
    <w:rsidRoot w:val="004E3515"/>
    <w:rsid w:val="000038FE"/>
    <w:rsid w:val="00004798"/>
    <w:rsid w:val="00006D60"/>
    <w:rsid w:val="000108BC"/>
    <w:rsid w:val="00010A37"/>
    <w:rsid w:val="00023669"/>
    <w:rsid w:val="00041FF9"/>
    <w:rsid w:val="00042959"/>
    <w:rsid w:val="00044BCA"/>
    <w:rsid w:val="00046E8E"/>
    <w:rsid w:val="000471ED"/>
    <w:rsid w:val="00047418"/>
    <w:rsid w:val="00051D2A"/>
    <w:rsid w:val="00054D69"/>
    <w:rsid w:val="00054E16"/>
    <w:rsid w:val="000608BB"/>
    <w:rsid w:val="000621B0"/>
    <w:rsid w:val="00065CC4"/>
    <w:rsid w:val="00066852"/>
    <w:rsid w:val="000708D8"/>
    <w:rsid w:val="00071F4C"/>
    <w:rsid w:val="00072E5E"/>
    <w:rsid w:val="000757D9"/>
    <w:rsid w:val="0007786E"/>
    <w:rsid w:val="00085DF9"/>
    <w:rsid w:val="000866EB"/>
    <w:rsid w:val="00090338"/>
    <w:rsid w:val="0009132D"/>
    <w:rsid w:val="0009531F"/>
    <w:rsid w:val="000A0CB8"/>
    <w:rsid w:val="000A1037"/>
    <w:rsid w:val="000A3A6F"/>
    <w:rsid w:val="000A3FF8"/>
    <w:rsid w:val="000B37FA"/>
    <w:rsid w:val="000B3DBA"/>
    <w:rsid w:val="000B52BF"/>
    <w:rsid w:val="000B6125"/>
    <w:rsid w:val="000C14D8"/>
    <w:rsid w:val="000D395F"/>
    <w:rsid w:val="000D53F7"/>
    <w:rsid w:val="000E1AF9"/>
    <w:rsid w:val="000E1DED"/>
    <w:rsid w:val="000E2C2C"/>
    <w:rsid w:val="000E5BDD"/>
    <w:rsid w:val="000E7F45"/>
    <w:rsid w:val="000F0DD0"/>
    <w:rsid w:val="000F4ADC"/>
    <w:rsid w:val="000F70BE"/>
    <w:rsid w:val="000F7BA5"/>
    <w:rsid w:val="001016D7"/>
    <w:rsid w:val="001037B0"/>
    <w:rsid w:val="00113238"/>
    <w:rsid w:val="00117A36"/>
    <w:rsid w:val="00117DB4"/>
    <w:rsid w:val="00124905"/>
    <w:rsid w:val="0013512C"/>
    <w:rsid w:val="001373AA"/>
    <w:rsid w:val="001424AE"/>
    <w:rsid w:val="00145066"/>
    <w:rsid w:val="001455A2"/>
    <w:rsid w:val="00146533"/>
    <w:rsid w:val="00146783"/>
    <w:rsid w:val="00146A4D"/>
    <w:rsid w:val="00154511"/>
    <w:rsid w:val="001549C3"/>
    <w:rsid w:val="00163ACB"/>
    <w:rsid w:val="00175AB7"/>
    <w:rsid w:val="001770B2"/>
    <w:rsid w:val="0018328E"/>
    <w:rsid w:val="001847A5"/>
    <w:rsid w:val="00184DAE"/>
    <w:rsid w:val="00195579"/>
    <w:rsid w:val="00195A0E"/>
    <w:rsid w:val="001A0CF2"/>
    <w:rsid w:val="001A15B0"/>
    <w:rsid w:val="001A362D"/>
    <w:rsid w:val="001A745B"/>
    <w:rsid w:val="001A7AFF"/>
    <w:rsid w:val="001A7F6E"/>
    <w:rsid w:val="001B120C"/>
    <w:rsid w:val="001B52BC"/>
    <w:rsid w:val="001B5490"/>
    <w:rsid w:val="001B57CF"/>
    <w:rsid w:val="001C06CD"/>
    <w:rsid w:val="001C111D"/>
    <w:rsid w:val="001C3FFB"/>
    <w:rsid w:val="001C78C5"/>
    <w:rsid w:val="001D09F0"/>
    <w:rsid w:val="001D550A"/>
    <w:rsid w:val="001E1FAC"/>
    <w:rsid w:val="001F3EF4"/>
    <w:rsid w:val="001F4DC4"/>
    <w:rsid w:val="001F60A9"/>
    <w:rsid w:val="001F6919"/>
    <w:rsid w:val="001F788F"/>
    <w:rsid w:val="00207426"/>
    <w:rsid w:val="00207C16"/>
    <w:rsid w:val="002116DC"/>
    <w:rsid w:val="00217A97"/>
    <w:rsid w:val="00220A0A"/>
    <w:rsid w:val="00223C9C"/>
    <w:rsid w:val="002303C9"/>
    <w:rsid w:val="0023115D"/>
    <w:rsid w:val="002355E3"/>
    <w:rsid w:val="00246D76"/>
    <w:rsid w:val="0025166E"/>
    <w:rsid w:val="002521D7"/>
    <w:rsid w:val="0025259A"/>
    <w:rsid w:val="00253F60"/>
    <w:rsid w:val="00256A2D"/>
    <w:rsid w:val="00256F70"/>
    <w:rsid w:val="002600B9"/>
    <w:rsid w:val="00261CB4"/>
    <w:rsid w:val="002626E1"/>
    <w:rsid w:val="002642DF"/>
    <w:rsid w:val="002648CD"/>
    <w:rsid w:val="002669E0"/>
    <w:rsid w:val="002711F0"/>
    <w:rsid w:val="00273411"/>
    <w:rsid w:val="00277BEA"/>
    <w:rsid w:val="00277D30"/>
    <w:rsid w:val="0029110C"/>
    <w:rsid w:val="002947DF"/>
    <w:rsid w:val="00294935"/>
    <w:rsid w:val="002957A4"/>
    <w:rsid w:val="00297EF4"/>
    <w:rsid w:val="002A7E85"/>
    <w:rsid w:val="002B69CE"/>
    <w:rsid w:val="002C0D73"/>
    <w:rsid w:val="002C2065"/>
    <w:rsid w:val="002C388C"/>
    <w:rsid w:val="002C46DC"/>
    <w:rsid w:val="002C53D8"/>
    <w:rsid w:val="002C64C2"/>
    <w:rsid w:val="002C768A"/>
    <w:rsid w:val="002C7A75"/>
    <w:rsid w:val="002D259C"/>
    <w:rsid w:val="002E0FB2"/>
    <w:rsid w:val="002F0203"/>
    <w:rsid w:val="002F163D"/>
    <w:rsid w:val="002F1F60"/>
    <w:rsid w:val="002F2784"/>
    <w:rsid w:val="002F5B1A"/>
    <w:rsid w:val="002F6358"/>
    <w:rsid w:val="002F7F74"/>
    <w:rsid w:val="00304012"/>
    <w:rsid w:val="00304622"/>
    <w:rsid w:val="00310DCB"/>
    <w:rsid w:val="00312645"/>
    <w:rsid w:val="00312D23"/>
    <w:rsid w:val="00314AF0"/>
    <w:rsid w:val="00317A9D"/>
    <w:rsid w:val="0032323C"/>
    <w:rsid w:val="00324006"/>
    <w:rsid w:val="003264E8"/>
    <w:rsid w:val="00333A70"/>
    <w:rsid w:val="00337F85"/>
    <w:rsid w:val="00341D85"/>
    <w:rsid w:val="00343B48"/>
    <w:rsid w:val="00353D95"/>
    <w:rsid w:val="00354848"/>
    <w:rsid w:val="00356C6F"/>
    <w:rsid w:val="00356E83"/>
    <w:rsid w:val="00372142"/>
    <w:rsid w:val="00377186"/>
    <w:rsid w:val="00377A81"/>
    <w:rsid w:val="00377E63"/>
    <w:rsid w:val="0038371F"/>
    <w:rsid w:val="00390820"/>
    <w:rsid w:val="00391377"/>
    <w:rsid w:val="00395A8F"/>
    <w:rsid w:val="003A1196"/>
    <w:rsid w:val="003A2FEB"/>
    <w:rsid w:val="003A51FE"/>
    <w:rsid w:val="003B002C"/>
    <w:rsid w:val="003B0CE5"/>
    <w:rsid w:val="003B10A1"/>
    <w:rsid w:val="003B310E"/>
    <w:rsid w:val="003B31AA"/>
    <w:rsid w:val="003B3254"/>
    <w:rsid w:val="003B36A1"/>
    <w:rsid w:val="003B36BC"/>
    <w:rsid w:val="003B50E5"/>
    <w:rsid w:val="003B6A6E"/>
    <w:rsid w:val="003B78B1"/>
    <w:rsid w:val="003C4892"/>
    <w:rsid w:val="003C59F5"/>
    <w:rsid w:val="003D0938"/>
    <w:rsid w:val="003D60AB"/>
    <w:rsid w:val="003E2287"/>
    <w:rsid w:val="003E39C9"/>
    <w:rsid w:val="003E6A54"/>
    <w:rsid w:val="003F01F9"/>
    <w:rsid w:val="003F1AF2"/>
    <w:rsid w:val="003F2111"/>
    <w:rsid w:val="003F234C"/>
    <w:rsid w:val="003F36A2"/>
    <w:rsid w:val="003F3AB2"/>
    <w:rsid w:val="003F5B7D"/>
    <w:rsid w:val="004017F2"/>
    <w:rsid w:val="00402FA9"/>
    <w:rsid w:val="004030DE"/>
    <w:rsid w:val="004079CB"/>
    <w:rsid w:val="0041377C"/>
    <w:rsid w:val="00422B82"/>
    <w:rsid w:val="00423EDB"/>
    <w:rsid w:val="00425431"/>
    <w:rsid w:val="004436D2"/>
    <w:rsid w:val="00443ABA"/>
    <w:rsid w:val="00444AF1"/>
    <w:rsid w:val="0044544B"/>
    <w:rsid w:val="00450716"/>
    <w:rsid w:val="0045103B"/>
    <w:rsid w:val="00453DD3"/>
    <w:rsid w:val="00456478"/>
    <w:rsid w:val="00460B89"/>
    <w:rsid w:val="004664E9"/>
    <w:rsid w:val="00470175"/>
    <w:rsid w:val="00470CE9"/>
    <w:rsid w:val="00471289"/>
    <w:rsid w:val="0047144D"/>
    <w:rsid w:val="004731C9"/>
    <w:rsid w:val="00473D64"/>
    <w:rsid w:val="00475C30"/>
    <w:rsid w:val="00481393"/>
    <w:rsid w:val="0048479A"/>
    <w:rsid w:val="0048479F"/>
    <w:rsid w:val="00485CC7"/>
    <w:rsid w:val="00487FAE"/>
    <w:rsid w:val="00495982"/>
    <w:rsid w:val="004969D2"/>
    <w:rsid w:val="0049738E"/>
    <w:rsid w:val="004A5D45"/>
    <w:rsid w:val="004A717A"/>
    <w:rsid w:val="004B104E"/>
    <w:rsid w:val="004B5BFA"/>
    <w:rsid w:val="004B6510"/>
    <w:rsid w:val="004C513A"/>
    <w:rsid w:val="004C6973"/>
    <w:rsid w:val="004C7BEA"/>
    <w:rsid w:val="004D3DD5"/>
    <w:rsid w:val="004D4CAF"/>
    <w:rsid w:val="004E1757"/>
    <w:rsid w:val="004E3515"/>
    <w:rsid w:val="004E369E"/>
    <w:rsid w:val="004E4AB2"/>
    <w:rsid w:val="004E4B6F"/>
    <w:rsid w:val="004E4E3F"/>
    <w:rsid w:val="004E7B05"/>
    <w:rsid w:val="004E7BE8"/>
    <w:rsid w:val="004F14B0"/>
    <w:rsid w:val="004F3542"/>
    <w:rsid w:val="004F5258"/>
    <w:rsid w:val="00501493"/>
    <w:rsid w:val="00504747"/>
    <w:rsid w:val="00504B46"/>
    <w:rsid w:val="00505678"/>
    <w:rsid w:val="00510603"/>
    <w:rsid w:val="00513819"/>
    <w:rsid w:val="00516DE1"/>
    <w:rsid w:val="00517968"/>
    <w:rsid w:val="005209F2"/>
    <w:rsid w:val="00520DB9"/>
    <w:rsid w:val="005222AB"/>
    <w:rsid w:val="00526162"/>
    <w:rsid w:val="005303E8"/>
    <w:rsid w:val="00530E9A"/>
    <w:rsid w:val="005358EB"/>
    <w:rsid w:val="005361E0"/>
    <w:rsid w:val="00536E3C"/>
    <w:rsid w:val="00540A8F"/>
    <w:rsid w:val="005451A8"/>
    <w:rsid w:val="00550205"/>
    <w:rsid w:val="00551CB1"/>
    <w:rsid w:val="005525FA"/>
    <w:rsid w:val="00552831"/>
    <w:rsid w:val="00552888"/>
    <w:rsid w:val="0055617D"/>
    <w:rsid w:val="00556F64"/>
    <w:rsid w:val="00561B1A"/>
    <w:rsid w:val="00564374"/>
    <w:rsid w:val="00566288"/>
    <w:rsid w:val="00567FBE"/>
    <w:rsid w:val="00575C54"/>
    <w:rsid w:val="00582055"/>
    <w:rsid w:val="0058453C"/>
    <w:rsid w:val="00587442"/>
    <w:rsid w:val="00590C4D"/>
    <w:rsid w:val="00591772"/>
    <w:rsid w:val="005929AA"/>
    <w:rsid w:val="005961E0"/>
    <w:rsid w:val="00596A45"/>
    <w:rsid w:val="005A13A4"/>
    <w:rsid w:val="005A5798"/>
    <w:rsid w:val="005A5997"/>
    <w:rsid w:val="005A66F7"/>
    <w:rsid w:val="005A6820"/>
    <w:rsid w:val="005B3B2C"/>
    <w:rsid w:val="005B3BE7"/>
    <w:rsid w:val="005B5997"/>
    <w:rsid w:val="005C0507"/>
    <w:rsid w:val="005C0E94"/>
    <w:rsid w:val="005C6C1F"/>
    <w:rsid w:val="005D1C0C"/>
    <w:rsid w:val="005D4C2C"/>
    <w:rsid w:val="005D5E96"/>
    <w:rsid w:val="005E15DF"/>
    <w:rsid w:val="005F34F8"/>
    <w:rsid w:val="005F5956"/>
    <w:rsid w:val="005F59F4"/>
    <w:rsid w:val="005F6893"/>
    <w:rsid w:val="00606AAC"/>
    <w:rsid w:val="00611843"/>
    <w:rsid w:val="006171E8"/>
    <w:rsid w:val="0061782B"/>
    <w:rsid w:val="00633839"/>
    <w:rsid w:val="006376A5"/>
    <w:rsid w:val="00637AB8"/>
    <w:rsid w:val="006437A4"/>
    <w:rsid w:val="006517CE"/>
    <w:rsid w:val="0065320E"/>
    <w:rsid w:val="00655245"/>
    <w:rsid w:val="00656087"/>
    <w:rsid w:val="00662554"/>
    <w:rsid w:val="00662BF0"/>
    <w:rsid w:val="006706FF"/>
    <w:rsid w:val="00671EB9"/>
    <w:rsid w:val="00680B7C"/>
    <w:rsid w:val="0068122F"/>
    <w:rsid w:val="00681355"/>
    <w:rsid w:val="00682913"/>
    <w:rsid w:val="006863A8"/>
    <w:rsid w:val="00692D94"/>
    <w:rsid w:val="00696713"/>
    <w:rsid w:val="006A4C18"/>
    <w:rsid w:val="006A4E26"/>
    <w:rsid w:val="006A5BD5"/>
    <w:rsid w:val="006A732E"/>
    <w:rsid w:val="006B3E2B"/>
    <w:rsid w:val="006B3F48"/>
    <w:rsid w:val="006B4FFE"/>
    <w:rsid w:val="006B67F8"/>
    <w:rsid w:val="006B77DA"/>
    <w:rsid w:val="006C5DFC"/>
    <w:rsid w:val="006C717D"/>
    <w:rsid w:val="006D0DD1"/>
    <w:rsid w:val="006D1C08"/>
    <w:rsid w:val="006D4BB1"/>
    <w:rsid w:val="006E349B"/>
    <w:rsid w:val="006F6F34"/>
    <w:rsid w:val="00703083"/>
    <w:rsid w:val="007055EB"/>
    <w:rsid w:val="00705F2E"/>
    <w:rsid w:val="00707F18"/>
    <w:rsid w:val="0071557E"/>
    <w:rsid w:val="00716D03"/>
    <w:rsid w:val="00717082"/>
    <w:rsid w:val="0071765B"/>
    <w:rsid w:val="00722355"/>
    <w:rsid w:val="00723179"/>
    <w:rsid w:val="00724AE1"/>
    <w:rsid w:val="0072611B"/>
    <w:rsid w:val="007303E5"/>
    <w:rsid w:val="00736C26"/>
    <w:rsid w:val="00737B1C"/>
    <w:rsid w:val="0074266C"/>
    <w:rsid w:val="0074275F"/>
    <w:rsid w:val="00744CCF"/>
    <w:rsid w:val="0074640C"/>
    <w:rsid w:val="00746504"/>
    <w:rsid w:val="007526A3"/>
    <w:rsid w:val="00756EEE"/>
    <w:rsid w:val="00762038"/>
    <w:rsid w:val="007647D1"/>
    <w:rsid w:val="00766A81"/>
    <w:rsid w:val="00767105"/>
    <w:rsid w:val="0076790E"/>
    <w:rsid w:val="00775B4B"/>
    <w:rsid w:val="007847AA"/>
    <w:rsid w:val="00784EBC"/>
    <w:rsid w:val="0079110D"/>
    <w:rsid w:val="00792428"/>
    <w:rsid w:val="0079417A"/>
    <w:rsid w:val="00794DF1"/>
    <w:rsid w:val="0079622C"/>
    <w:rsid w:val="007A0E81"/>
    <w:rsid w:val="007A2E40"/>
    <w:rsid w:val="007A370A"/>
    <w:rsid w:val="007A4CC2"/>
    <w:rsid w:val="007A6035"/>
    <w:rsid w:val="007B0DC8"/>
    <w:rsid w:val="007B1815"/>
    <w:rsid w:val="007B3C28"/>
    <w:rsid w:val="007B3CC7"/>
    <w:rsid w:val="007B43E2"/>
    <w:rsid w:val="007B5D43"/>
    <w:rsid w:val="007C0246"/>
    <w:rsid w:val="007C346D"/>
    <w:rsid w:val="007C3BD5"/>
    <w:rsid w:val="007C49AF"/>
    <w:rsid w:val="007C7C61"/>
    <w:rsid w:val="007D0C58"/>
    <w:rsid w:val="007D242F"/>
    <w:rsid w:val="007D42A9"/>
    <w:rsid w:val="007D4729"/>
    <w:rsid w:val="007D48C6"/>
    <w:rsid w:val="007D5299"/>
    <w:rsid w:val="007D58EC"/>
    <w:rsid w:val="007D59CD"/>
    <w:rsid w:val="007D72E8"/>
    <w:rsid w:val="007D7371"/>
    <w:rsid w:val="007E0C98"/>
    <w:rsid w:val="007E2F54"/>
    <w:rsid w:val="007E39DC"/>
    <w:rsid w:val="007E4AFA"/>
    <w:rsid w:val="007E5D2D"/>
    <w:rsid w:val="007F1FA1"/>
    <w:rsid w:val="007F2492"/>
    <w:rsid w:val="007F411D"/>
    <w:rsid w:val="007F6FF5"/>
    <w:rsid w:val="007F7C60"/>
    <w:rsid w:val="00803234"/>
    <w:rsid w:val="00804BAC"/>
    <w:rsid w:val="0081413D"/>
    <w:rsid w:val="00817D0D"/>
    <w:rsid w:val="00825941"/>
    <w:rsid w:val="00830305"/>
    <w:rsid w:val="00831613"/>
    <w:rsid w:val="00832952"/>
    <w:rsid w:val="008358FF"/>
    <w:rsid w:val="00836673"/>
    <w:rsid w:val="00837D11"/>
    <w:rsid w:val="00854B61"/>
    <w:rsid w:val="00855289"/>
    <w:rsid w:val="0085638D"/>
    <w:rsid w:val="008666EB"/>
    <w:rsid w:val="008722F8"/>
    <w:rsid w:val="008727AE"/>
    <w:rsid w:val="00881C88"/>
    <w:rsid w:val="00890B8A"/>
    <w:rsid w:val="008A3BCB"/>
    <w:rsid w:val="008B027F"/>
    <w:rsid w:val="008B137D"/>
    <w:rsid w:val="008B17EF"/>
    <w:rsid w:val="008B1F6B"/>
    <w:rsid w:val="008B29BF"/>
    <w:rsid w:val="008B574A"/>
    <w:rsid w:val="008B71CF"/>
    <w:rsid w:val="008C2AE0"/>
    <w:rsid w:val="008C2B7A"/>
    <w:rsid w:val="008C458A"/>
    <w:rsid w:val="008D1D85"/>
    <w:rsid w:val="008D2F52"/>
    <w:rsid w:val="008D3EBE"/>
    <w:rsid w:val="008D64C6"/>
    <w:rsid w:val="008E1D9F"/>
    <w:rsid w:val="008E56A9"/>
    <w:rsid w:val="008E74E0"/>
    <w:rsid w:val="008E775D"/>
    <w:rsid w:val="008F0149"/>
    <w:rsid w:val="008F10F7"/>
    <w:rsid w:val="008F19EA"/>
    <w:rsid w:val="008F2493"/>
    <w:rsid w:val="008F3773"/>
    <w:rsid w:val="008F7351"/>
    <w:rsid w:val="008F7430"/>
    <w:rsid w:val="00905612"/>
    <w:rsid w:val="00907B84"/>
    <w:rsid w:val="0091072A"/>
    <w:rsid w:val="009130E2"/>
    <w:rsid w:val="00930183"/>
    <w:rsid w:val="00930538"/>
    <w:rsid w:val="00934C9E"/>
    <w:rsid w:val="00935477"/>
    <w:rsid w:val="00935D10"/>
    <w:rsid w:val="00947275"/>
    <w:rsid w:val="009476A0"/>
    <w:rsid w:val="00954328"/>
    <w:rsid w:val="009565BE"/>
    <w:rsid w:val="009606EF"/>
    <w:rsid w:val="0096229F"/>
    <w:rsid w:val="009624E9"/>
    <w:rsid w:val="00970E0C"/>
    <w:rsid w:val="009733BA"/>
    <w:rsid w:val="00981789"/>
    <w:rsid w:val="00982284"/>
    <w:rsid w:val="009842F2"/>
    <w:rsid w:val="00985FB9"/>
    <w:rsid w:val="009876C9"/>
    <w:rsid w:val="00987C11"/>
    <w:rsid w:val="009916BB"/>
    <w:rsid w:val="00997D7B"/>
    <w:rsid w:val="009A0947"/>
    <w:rsid w:val="009A0AAC"/>
    <w:rsid w:val="009A29AD"/>
    <w:rsid w:val="009A5A28"/>
    <w:rsid w:val="009B16D4"/>
    <w:rsid w:val="009B2835"/>
    <w:rsid w:val="009B4011"/>
    <w:rsid w:val="009B7F9F"/>
    <w:rsid w:val="009C2A39"/>
    <w:rsid w:val="009C5335"/>
    <w:rsid w:val="009C60BF"/>
    <w:rsid w:val="009D0263"/>
    <w:rsid w:val="009D185B"/>
    <w:rsid w:val="009D199A"/>
    <w:rsid w:val="009D23C0"/>
    <w:rsid w:val="009D5FDB"/>
    <w:rsid w:val="009D7B48"/>
    <w:rsid w:val="009E22C0"/>
    <w:rsid w:val="009E2686"/>
    <w:rsid w:val="009E426B"/>
    <w:rsid w:val="009E55B2"/>
    <w:rsid w:val="009E6629"/>
    <w:rsid w:val="009F1F0F"/>
    <w:rsid w:val="009F25E5"/>
    <w:rsid w:val="009F4E26"/>
    <w:rsid w:val="009F75E5"/>
    <w:rsid w:val="009F780A"/>
    <w:rsid w:val="00A048BF"/>
    <w:rsid w:val="00A07E23"/>
    <w:rsid w:val="00A11B5F"/>
    <w:rsid w:val="00A1239D"/>
    <w:rsid w:val="00A12406"/>
    <w:rsid w:val="00A27CC2"/>
    <w:rsid w:val="00A30611"/>
    <w:rsid w:val="00A30F03"/>
    <w:rsid w:val="00A32123"/>
    <w:rsid w:val="00A37455"/>
    <w:rsid w:val="00A40A20"/>
    <w:rsid w:val="00A43BBF"/>
    <w:rsid w:val="00A44951"/>
    <w:rsid w:val="00A44C6C"/>
    <w:rsid w:val="00A45A12"/>
    <w:rsid w:val="00A46AC1"/>
    <w:rsid w:val="00A5374A"/>
    <w:rsid w:val="00A5758D"/>
    <w:rsid w:val="00A6373D"/>
    <w:rsid w:val="00A66F3F"/>
    <w:rsid w:val="00A66F4B"/>
    <w:rsid w:val="00A678D5"/>
    <w:rsid w:val="00A71735"/>
    <w:rsid w:val="00A757C4"/>
    <w:rsid w:val="00A80ECF"/>
    <w:rsid w:val="00A83E11"/>
    <w:rsid w:val="00A84510"/>
    <w:rsid w:val="00A909E0"/>
    <w:rsid w:val="00A91ABA"/>
    <w:rsid w:val="00A97542"/>
    <w:rsid w:val="00A97B16"/>
    <w:rsid w:val="00AA2A72"/>
    <w:rsid w:val="00AA3534"/>
    <w:rsid w:val="00AA48B3"/>
    <w:rsid w:val="00AA55B2"/>
    <w:rsid w:val="00AA5670"/>
    <w:rsid w:val="00AA5E62"/>
    <w:rsid w:val="00AB1629"/>
    <w:rsid w:val="00AB2043"/>
    <w:rsid w:val="00AB71C6"/>
    <w:rsid w:val="00AB7A33"/>
    <w:rsid w:val="00AB7DAD"/>
    <w:rsid w:val="00AC3B0B"/>
    <w:rsid w:val="00AC4FD9"/>
    <w:rsid w:val="00AC7A6D"/>
    <w:rsid w:val="00AD0FDB"/>
    <w:rsid w:val="00AE1290"/>
    <w:rsid w:val="00AE1E2C"/>
    <w:rsid w:val="00AE6250"/>
    <w:rsid w:val="00AF1467"/>
    <w:rsid w:val="00AF47E2"/>
    <w:rsid w:val="00B0483F"/>
    <w:rsid w:val="00B06EAB"/>
    <w:rsid w:val="00B0707F"/>
    <w:rsid w:val="00B11004"/>
    <w:rsid w:val="00B13824"/>
    <w:rsid w:val="00B138E8"/>
    <w:rsid w:val="00B149C6"/>
    <w:rsid w:val="00B14A29"/>
    <w:rsid w:val="00B157B1"/>
    <w:rsid w:val="00B17CD1"/>
    <w:rsid w:val="00B214F9"/>
    <w:rsid w:val="00B21F1A"/>
    <w:rsid w:val="00B24DCD"/>
    <w:rsid w:val="00B303DC"/>
    <w:rsid w:val="00B30B4F"/>
    <w:rsid w:val="00B315B8"/>
    <w:rsid w:val="00B33768"/>
    <w:rsid w:val="00B352CD"/>
    <w:rsid w:val="00B4169F"/>
    <w:rsid w:val="00B43184"/>
    <w:rsid w:val="00B461A9"/>
    <w:rsid w:val="00B4790E"/>
    <w:rsid w:val="00B53B70"/>
    <w:rsid w:val="00B669C0"/>
    <w:rsid w:val="00B70C31"/>
    <w:rsid w:val="00B74567"/>
    <w:rsid w:val="00B75643"/>
    <w:rsid w:val="00B770D3"/>
    <w:rsid w:val="00B77175"/>
    <w:rsid w:val="00B80598"/>
    <w:rsid w:val="00B80BDF"/>
    <w:rsid w:val="00B90543"/>
    <w:rsid w:val="00B91DD2"/>
    <w:rsid w:val="00B93589"/>
    <w:rsid w:val="00B95AAA"/>
    <w:rsid w:val="00B9700A"/>
    <w:rsid w:val="00BA01BA"/>
    <w:rsid w:val="00BA19C0"/>
    <w:rsid w:val="00BA57DF"/>
    <w:rsid w:val="00BB0160"/>
    <w:rsid w:val="00BB29C9"/>
    <w:rsid w:val="00BB3102"/>
    <w:rsid w:val="00BB4059"/>
    <w:rsid w:val="00BB4611"/>
    <w:rsid w:val="00BB4CDF"/>
    <w:rsid w:val="00BB4D62"/>
    <w:rsid w:val="00BB71C0"/>
    <w:rsid w:val="00BC1104"/>
    <w:rsid w:val="00BC2728"/>
    <w:rsid w:val="00BC3A79"/>
    <w:rsid w:val="00BC7EF2"/>
    <w:rsid w:val="00BD0CB8"/>
    <w:rsid w:val="00BE124A"/>
    <w:rsid w:val="00BE2F24"/>
    <w:rsid w:val="00BE3073"/>
    <w:rsid w:val="00BE3BCD"/>
    <w:rsid w:val="00BF137B"/>
    <w:rsid w:val="00BF2D0C"/>
    <w:rsid w:val="00BF43D4"/>
    <w:rsid w:val="00BF6889"/>
    <w:rsid w:val="00BF6972"/>
    <w:rsid w:val="00BF6D1C"/>
    <w:rsid w:val="00C01624"/>
    <w:rsid w:val="00C02ED4"/>
    <w:rsid w:val="00C03938"/>
    <w:rsid w:val="00C04C59"/>
    <w:rsid w:val="00C06844"/>
    <w:rsid w:val="00C1167B"/>
    <w:rsid w:val="00C12311"/>
    <w:rsid w:val="00C15D7B"/>
    <w:rsid w:val="00C17E39"/>
    <w:rsid w:val="00C23B97"/>
    <w:rsid w:val="00C3487E"/>
    <w:rsid w:val="00C348D2"/>
    <w:rsid w:val="00C50649"/>
    <w:rsid w:val="00C52AB4"/>
    <w:rsid w:val="00C60997"/>
    <w:rsid w:val="00C62EFE"/>
    <w:rsid w:val="00C64225"/>
    <w:rsid w:val="00C64853"/>
    <w:rsid w:val="00C66F05"/>
    <w:rsid w:val="00C676FA"/>
    <w:rsid w:val="00C70F9E"/>
    <w:rsid w:val="00C711B9"/>
    <w:rsid w:val="00C71D07"/>
    <w:rsid w:val="00C72273"/>
    <w:rsid w:val="00C76539"/>
    <w:rsid w:val="00C77A38"/>
    <w:rsid w:val="00C83E1D"/>
    <w:rsid w:val="00C87E32"/>
    <w:rsid w:val="00C90747"/>
    <w:rsid w:val="00C91023"/>
    <w:rsid w:val="00C92E81"/>
    <w:rsid w:val="00CA0808"/>
    <w:rsid w:val="00CA4930"/>
    <w:rsid w:val="00CB1437"/>
    <w:rsid w:val="00CB3881"/>
    <w:rsid w:val="00CB3B0E"/>
    <w:rsid w:val="00CB445E"/>
    <w:rsid w:val="00CB59CB"/>
    <w:rsid w:val="00CC7E1B"/>
    <w:rsid w:val="00CD0AF3"/>
    <w:rsid w:val="00CD12A6"/>
    <w:rsid w:val="00CD3B80"/>
    <w:rsid w:val="00CD3E9D"/>
    <w:rsid w:val="00CE2946"/>
    <w:rsid w:val="00CE5217"/>
    <w:rsid w:val="00CF35DD"/>
    <w:rsid w:val="00CF5871"/>
    <w:rsid w:val="00D00291"/>
    <w:rsid w:val="00D00703"/>
    <w:rsid w:val="00D0233A"/>
    <w:rsid w:val="00D1048A"/>
    <w:rsid w:val="00D1342B"/>
    <w:rsid w:val="00D136AA"/>
    <w:rsid w:val="00D14E59"/>
    <w:rsid w:val="00D20ECB"/>
    <w:rsid w:val="00D21B26"/>
    <w:rsid w:val="00D224D4"/>
    <w:rsid w:val="00D234EA"/>
    <w:rsid w:val="00D26E9F"/>
    <w:rsid w:val="00D35CD6"/>
    <w:rsid w:val="00D46D0C"/>
    <w:rsid w:val="00D472E3"/>
    <w:rsid w:val="00D51D41"/>
    <w:rsid w:val="00D52196"/>
    <w:rsid w:val="00D52FF3"/>
    <w:rsid w:val="00D55939"/>
    <w:rsid w:val="00D563C8"/>
    <w:rsid w:val="00D57EAC"/>
    <w:rsid w:val="00D62236"/>
    <w:rsid w:val="00D63F9E"/>
    <w:rsid w:val="00D64D39"/>
    <w:rsid w:val="00D654B0"/>
    <w:rsid w:val="00D70CF9"/>
    <w:rsid w:val="00D74C92"/>
    <w:rsid w:val="00D86414"/>
    <w:rsid w:val="00D947BC"/>
    <w:rsid w:val="00D94D9C"/>
    <w:rsid w:val="00DA53CB"/>
    <w:rsid w:val="00DA65B2"/>
    <w:rsid w:val="00DA6A94"/>
    <w:rsid w:val="00DB004B"/>
    <w:rsid w:val="00DB05FD"/>
    <w:rsid w:val="00DB0612"/>
    <w:rsid w:val="00DB3A1C"/>
    <w:rsid w:val="00DB487D"/>
    <w:rsid w:val="00DB7212"/>
    <w:rsid w:val="00DC48A0"/>
    <w:rsid w:val="00DC50CC"/>
    <w:rsid w:val="00DD2222"/>
    <w:rsid w:val="00DD498E"/>
    <w:rsid w:val="00DE0FE6"/>
    <w:rsid w:val="00DE1918"/>
    <w:rsid w:val="00DE2901"/>
    <w:rsid w:val="00DE2ADB"/>
    <w:rsid w:val="00DE31ED"/>
    <w:rsid w:val="00DE39EC"/>
    <w:rsid w:val="00DE3EC7"/>
    <w:rsid w:val="00DE5BBA"/>
    <w:rsid w:val="00DF2BFB"/>
    <w:rsid w:val="00E008D2"/>
    <w:rsid w:val="00E013F5"/>
    <w:rsid w:val="00E019C9"/>
    <w:rsid w:val="00E030BE"/>
    <w:rsid w:val="00E03A86"/>
    <w:rsid w:val="00E05890"/>
    <w:rsid w:val="00E10CE8"/>
    <w:rsid w:val="00E12A5A"/>
    <w:rsid w:val="00E13AC0"/>
    <w:rsid w:val="00E21D11"/>
    <w:rsid w:val="00E23E94"/>
    <w:rsid w:val="00E24E15"/>
    <w:rsid w:val="00E25E30"/>
    <w:rsid w:val="00E26599"/>
    <w:rsid w:val="00E322A3"/>
    <w:rsid w:val="00E329A7"/>
    <w:rsid w:val="00E33251"/>
    <w:rsid w:val="00E35003"/>
    <w:rsid w:val="00E36B73"/>
    <w:rsid w:val="00E413A4"/>
    <w:rsid w:val="00E4447D"/>
    <w:rsid w:val="00E479A1"/>
    <w:rsid w:val="00E548D8"/>
    <w:rsid w:val="00E55E11"/>
    <w:rsid w:val="00E60F0E"/>
    <w:rsid w:val="00E61FB4"/>
    <w:rsid w:val="00E62A84"/>
    <w:rsid w:val="00E644CF"/>
    <w:rsid w:val="00E67602"/>
    <w:rsid w:val="00E722B9"/>
    <w:rsid w:val="00E814A6"/>
    <w:rsid w:val="00E844B8"/>
    <w:rsid w:val="00E868BA"/>
    <w:rsid w:val="00E90079"/>
    <w:rsid w:val="00E94041"/>
    <w:rsid w:val="00E97607"/>
    <w:rsid w:val="00EA3690"/>
    <w:rsid w:val="00EB16E8"/>
    <w:rsid w:val="00EB27E5"/>
    <w:rsid w:val="00EB49C5"/>
    <w:rsid w:val="00EB5E1D"/>
    <w:rsid w:val="00EC312C"/>
    <w:rsid w:val="00EC4122"/>
    <w:rsid w:val="00EC7B97"/>
    <w:rsid w:val="00ED00EE"/>
    <w:rsid w:val="00ED3818"/>
    <w:rsid w:val="00ED50C0"/>
    <w:rsid w:val="00ED6247"/>
    <w:rsid w:val="00ED7D22"/>
    <w:rsid w:val="00ED7F2F"/>
    <w:rsid w:val="00EE0A46"/>
    <w:rsid w:val="00EE0BBB"/>
    <w:rsid w:val="00EE3CC4"/>
    <w:rsid w:val="00EE7F0E"/>
    <w:rsid w:val="00EF0226"/>
    <w:rsid w:val="00EF150B"/>
    <w:rsid w:val="00EF3388"/>
    <w:rsid w:val="00EF512E"/>
    <w:rsid w:val="00EF7BD5"/>
    <w:rsid w:val="00F00BB8"/>
    <w:rsid w:val="00F0206B"/>
    <w:rsid w:val="00F0487C"/>
    <w:rsid w:val="00F16757"/>
    <w:rsid w:val="00F20950"/>
    <w:rsid w:val="00F210A7"/>
    <w:rsid w:val="00F22969"/>
    <w:rsid w:val="00F23FEB"/>
    <w:rsid w:val="00F24E45"/>
    <w:rsid w:val="00F25AD2"/>
    <w:rsid w:val="00F276B3"/>
    <w:rsid w:val="00F3091A"/>
    <w:rsid w:val="00F30B3C"/>
    <w:rsid w:val="00F31EDF"/>
    <w:rsid w:val="00F32904"/>
    <w:rsid w:val="00F37142"/>
    <w:rsid w:val="00F40677"/>
    <w:rsid w:val="00F41564"/>
    <w:rsid w:val="00F43A15"/>
    <w:rsid w:val="00F43F63"/>
    <w:rsid w:val="00F560D4"/>
    <w:rsid w:val="00F56E07"/>
    <w:rsid w:val="00F57680"/>
    <w:rsid w:val="00F6046C"/>
    <w:rsid w:val="00F64C5B"/>
    <w:rsid w:val="00F6788D"/>
    <w:rsid w:val="00F8000B"/>
    <w:rsid w:val="00F83263"/>
    <w:rsid w:val="00F847C0"/>
    <w:rsid w:val="00F85D47"/>
    <w:rsid w:val="00F93087"/>
    <w:rsid w:val="00FA33E6"/>
    <w:rsid w:val="00FA5E3A"/>
    <w:rsid w:val="00FB060B"/>
    <w:rsid w:val="00FB2FF9"/>
    <w:rsid w:val="00FB4FF6"/>
    <w:rsid w:val="00FC238B"/>
    <w:rsid w:val="00FC4F95"/>
    <w:rsid w:val="00FC6FEF"/>
    <w:rsid w:val="00FD4036"/>
    <w:rsid w:val="00FD6495"/>
    <w:rsid w:val="00FE102D"/>
    <w:rsid w:val="00FE1AA8"/>
    <w:rsid w:val="00FE3189"/>
    <w:rsid w:val="00FE4165"/>
    <w:rsid w:val="00FE715C"/>
    <w:rsid w:val="00FF6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1746">
      <v:stroke endarrow="classic" endarrowwidth="wide" endarrowlength="long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CB8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0A0CB8"/>
    <w:pPr>
      <w:keepNext/>
      <w:jc w:val="center"/>
      <w:outlineLvl w:val="0"/>
    </w:pPr>
    <w:rPr>
      <w:rFonts w:ascii="Impact" w:hAnsi="Impact"/>
      <w:b/>
      <w:color w:val="800000"/>
      <w:sz w:val="72"/>
    </w:rPr>
  </w:style>
  <w:style w:type="paragraph" w:styleId="Ttulo2">
    <w:name w:val="heading 2"/>
    <w:basedOn w:val="Normal"/>
    <w:next w:val="Normal"/>
    <w:qFormat/>
    <w:rsid w:val="000A0CB8"/>
    <w:pPr>
      <w:keepNext/>
      <w:jc w:val="center"/>
      <w:outlineLvl w:val="1"/>
    </w:pPr>
    <w:rPr>
      <w:rFonts w:ascii="Tahoma" w:hAnsi="Tahoma"/>
      <w:b/>
      <w:color w:val="FF0000"/>
    </w:rPr>
  </w:style>
  <w:style w:type="paragraph" w:styleId="Ttulo3">
    <w:name w:val="heading 3"/>
    <w:basedOn w:val="Normal"/>
    <w:next w:val="Normal"/>
    <w:qFormat/>
    <w:rsid w:val="000A0CB8"/>
    <w:pPr>
      <w:keepNext/>
      <w:numPr>
        <w:numId w:val="1"/>
      </w:numPr>
      <w:tabs>
        <w:tab w:val="clear" w:pos="720"/>
        <w:tab w:val="num" w:pos="426"/>
      </w:tabs>
      <w:ind w:left="426" w:hanging="426"/>
      <w:jc w:val="center"/>
      <w:outlineLvl w:val="2"/>
    </w:pPr>
    <w:rPr>
      <w:rFonts w:ascii="Tahoma" w:hAnsi="Tahoma"/>
      <w:b/>
      <w:color w:val="800000"/>
      <w:sz w:val="42"/>
    </w:rPr>
  </w:style>
  <w:style w:type="paragraph" w:styleId="Ttulo4">
    <w:name w:val="heading 4"/>
    <w:basedOn w:val="Normal"/>
    <w:next w:val="Normal"/>
    <w:qFormat/>
    <w:rsid w:val="000A0CB8"/>
    <w:pPr>
      <w:keepNext/>
      <w:jc w:val="center"/>
      <w:outlineLvl w:val="3"/>
    </w:pPr>
    <w:rPr>
      <w:i/>
      <w:sz w:val="20"/>
    </w:rPr>
  </w:style>
  <w:style w:type="paragraph" w:styleId="Ttulo5">
    <w:name w:val="heading 5"/>
    <w:basedOn w:val="Normal"/>
    <w:next w:val="Normal"/>
    <w:qFormat/>
    <w:rsid w:val="000A0CB8"/>
    <w:pPr>
      <w:keepNext/>
      <w:jc w:val="center"/>
      <w:outlineLvl w:val="4"/>
    </w:pPr>
    <w:rPr>
      <w:rFonts w:ascii="Arial Narrow" w:hAnsi="Arial Narrow"/>
      <w:b/>
      <w:color w:val="800000"/>
    </w:rPr>
  </w:style>
  <w:style w:type="paragraph" w:styleId="Ttulo6">
    <w:name w:val="heading 6"/>
    <w:basedOn w:val="Normal"/>
    <w:next w:val="Normal"/>
    <w:qFormat/>
    <w:rsid w:val="000A0CB8"/>
    <w:pPr>
      <w:keepNext/>
      <w:numPr>
        <w:numId w:val="2"/>
      </w:numPr>
      <w:tabs>
        <w:tab w:val="clear" w:pos="720"/>
        <w:tab w:val="num" w:pos="426"/>
      </w:tabs>
      <w:spacing w:before="1200"/>
      <w:ind w:left="425" w:hanging="425"/>
      <w:outlineLvl w:val="5"/>
    </w:pPr>
    <w:rPr>
      <w:rFonts w:ascii="Arial Narrow" w:hAnsi="Arial Narrow"/>
      <w:b/>
      <w:smallCaps/>
    </w:rPr>
  </w:style>
  <w:style w:type="paragraph" w:styleId="Ttulo7">
    <w:name w:val="heading 7"/>
    <w:basedOn w:val="Normal"/>
    <w:next w:val="Normal"/>
    <w:qFormat/>
    <w:rsid w:val="000A0CB8"/>
    <w:pPr>
      <w:keepNext/>
      <w:spacing w:before="480"/>
      <w:jc w:val="both"/>
      <w:outlineLvl w:val="6"/>
    </w:pPr>
    <w:rPr>
      <w:rFonts w:ascii="Arial Narrow" w:hAnsi="Arial Narrow"/>
      <w:b/>
      <w:bCs/>
      <w:sz w:val="30"/>
    </w:rPr>
  </w:style>
  <w:style w:type="paragraph" w:styleId="Ttulo8">
    <w:name w:val="heading 8"/>
    <w:basedOn w:val="Normal"/>
    <w:next w:val="Normal"/>
    <w:qFormat/>
    <w:rsid w:val="000A0CB8"/>
    <w:pPr>
      <w:keepNext/>
      <w:jc w:val="center"/>
      <w:outlineLvl w:val="7"/>
    </w:pPr>
    <w:rPr>
      <w:rFonts w:ascii="Impact" w:hAnsi="Impact"/>
      <w:smallCaps/>
      <w:color w:val="FFFF99"/>
      <w:sz w:val="60"/>
    </w:rPr>
  </w:style>
  <w:style w:type="paragraph" w:styleId="Ttulo9">
    <w:name w:val="heading 9"/>
    <w:basedOn w:val="Normal"/>
    <w:next w:val="Normal"/>
    <w:qFormat/>
    <w:rsid w:val="000A0CB8"/>
    <w:pPr>
      <w:keepNext/>
      <w:outlineLvl w:val="8"/>
    </w:pPr>
    <w:rPr>
      <w:sz w:val="36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0A0CB8"/>
    <w:pPr>
      <w:spacing w:before="240"/>
      <w:jc w:val="both"/>
    </w:pPr>
  </w:style>
  <w:style w:type="paragraph" w:styleId="Corpodetexto2">
    <w:name w:val="Body Text 2"/>
    <w:basedOn w:val="Normal"/>
    <w:rsid w:val="000A0CB8"/>
    <w:pPr>
      <w:jc w:val="center"/>
    </w:pPr>
  </w:style>
  <w:style w:type="paragraph" w:styleId="Corpodetexto3">
    <w:name w:val="Body Text 3"/>
    <w:basedOn w:val="Normal"/>
    <w:rsid w:val="000A0CB8"/>
    <w:rPr>
      <w:sz w:val="22"/>
    </w:rPr>
  </w:style>
  <w:style w:type="paragraph" w:styleId="Rodap">
    <w:name w:val="footer"/>
    <w:basedOn w:val="Normal"/>
    <w:rsid w:val="000A0CB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0A0CB8"/>
  </w:style>
  <w:style w:type="paragraph" w:styleId="Cabealho">
    <w:name w:val="header"/>
    <w:basedOn w:val="Normal"/>
    <w:rsid w:val="000A0CB8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0A0CB8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customStyle="1" w:styleId="xl24">
    <w:name w:val="xl24"/>
    <w:basedOn w:val="Normal"/>
    <w:rsid w:val="000A0CB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25">
    <w:name w:val="xl25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26">
    <w:name w:val="xl26"/>
    <w:basedOn w:val="Normal"/>
    <w:rsid w:val="000A0CB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27">
    <w:name w:val="xl27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28">
    <w:name w:val="xl28"/>
    <w:basedOn w:val="Normal"/>
    <w:rsid w:val="000A0CB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29">
    <w:name w:val="xl29"/>
    <w:basedOn w:val="Normal"/>
    <w:rsid w:val="000A0CB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30">
    <w:name w:val="xl30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31">
    <w:name w:val="xl31"/>
    <w:basedOn w:val="Normal"/>
    <w:rsid w:val="000A0CB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Cs w:val="24"/>
    </w:rPr>
  </w:style>
  <w:style w:type="paragraph" w:customStyle="1" w:styleId="xl32">
    <w:name w:val="xl32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33">
    <w:name w:val="xl33"/>
    <w:basedOn w:val="Normal"/>
    <w:rsid w:val="000A0CB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34">
    <w:name w:val="xl34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35">
    <w:name w:val="xl35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36">
    <w:name w:val="xl36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37">
    <w:name w:val="xl37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38">
    <w:name w:val="xl38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39">
    <w:name w:val="xl39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40">
    <w:name w:val="xl40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Cs w:val="24"/>
    </w:rPr>
  </w:style>
  <w:style w:type="paragraph" w:customStyle="1" w:styleId="xl41">
    <w:name w:val="xl41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42">
    <w:name w:val="xl42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43">
    <w:name w:val="xl43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44">
    <w:name w:val="xl44"/>
    <w:basedOn w:val="Normal"/>
    <w:rsid w:val="000A0CB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45">
    <w:name w:val="xl45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46">
    <w:name w:val="xl46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47">
    <w:name w:val="xl47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48">
    <w:name w:val="xl48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49">
    <w:name w:val="xl49"/>
    <w:basedOn w:val="Normal"/>
    <w:rsid w:val="000A0CB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50">
    <w:name w:val="xl50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51">
    <w:name w:val="xl51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52">
    <w:name w:val="xl52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cs="Arial"/>
      <w:b/>
      <w:bCs/>
      <w:szCs w:val="24"/>
    </w:rPr>
  </w:style>
  <w:style w:type="paragraph" w:customStyle="1" w:styleId="xl53">
    <w:name w:val="xl53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cs="Arial"/>
      <w:b/>
      <w:bCs/>
      <w:szCs w:val="24"/>
    </w:rPr>
  </w:style>
  <w:style w:type="paragraph" w:customStyle="1" w:styleId="xl54">
    <w:name w:val="xl54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55">
    <w:name w:val="xl55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paragraph" w:customStyle="1" w:styleId="xl56">
    <w:name w:val="xl56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paragraph" w:customStyle="1" w:styleId="xl57">
    <w:name w:val="xl57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 w:val="22"/>
      <w:szCs w:val="22"/>
    </w:rPr>
  </w:style>
  <w:style w:type="paragraph" w:customStyle="1" w:styleId="xl58">
    <w:name w:val="xl58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 w:val="22"/>
      <w:szCs w:val="22"/>
    </w:rPr>
  </w:style>
  <w:style w:type="paragraph" w:customStyle="1" w:styleId="xl59">
    <w:name w:val="xl59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 w:val="16"/>
      <w:szCs w:val="16"/>
    </w:rPr>
  </w:style>
  <w:style w:type="paragraph" w:customStyle="1" w:styleId="xl60">
    <w:name w:val="xl60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 w:val="16"/>
      <w:szCs w:val="16"/>
    </w:rPr>
  </w:style>
  <w:style w:type="paragraph" w:customStyle="1" w:styleId="xl61">
    <w:name w:val="xl61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b/>
      <w:bCs/>
      <w:sz w:val="22"/>
      <w:szCs w:val="22"/>
    </w:rPr>
  </w:style>
  <w:style w:type="paragraph" w:customStyle="1" w:styleId="xl62">
    <w:name w:val="xl62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b/>
      <w:bCs/>
      <w:sz w:val="22"/>
      <w:szCs w:val="22"/>
    </w:rPr>
  </w:style>
  <w:style w:type="paragraph" w:customStyle="1" w:styleId="xl63">
    <w:name w:val="xl63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 w:val="22"/>
      <w:szCs w:val="22"/>
    </w:rPr>
  </w:style>
  <w:style w:type="paragraph" w:customStyle="1" w:styleId="xl64">
    <w:name w:val="xl64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 w:val="22"/>
      <w:szCs w:val="22"/>
    </w:rPr>
  </w:style>
  <w:style w:type="paragraph" w:customStyle="1" w:styleId="xl65">
    <w:name w:val="xl65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66">
    <w:name w:val="xl66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67">
    <w:name w:val="xl67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68">
    <w:name w:val="xl68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Cs w:val="24"/>
    </w:rPr>
  </w:style>
  <w:style w:type="paragraph" w:customStyle="1" w:styleId="xl70">
    <w:name w:val="xl70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 w:val="22"/>
      <w:szCs w:val="22"/>
    </w:rPr>
  </w:style>
  <w:style w:type="paragraph" w:customStyle="1" w:styleId="xl71">
    <w:name w:val="xl71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 w:val="22"/>
      <w:szCs w:val="22"/>
    </w:rPr>
  </w:style>
  <w:style w:type="paragraph" w:customStyle="1" w:styleId="xl72">
    <w:name w:val="xl72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73">
    <w:name w:val="xl73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74">
    <w:name w:val="xl74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75">
    <w:name w:val="xl75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76">
    <w:name w:val="xl76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77">
    <w:name w:val="xl77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 w:val="16"/>
      <w:szCs w:val="16"/>
    </w:rPr>
  </w:style>
  <w:style w:type="paragraph" w:customStyle="1" w:styleId="xl78">
    <w:name w:val="xl78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 w:val="16"/>
      <w:szCs w:val="16"/>
    </w:rPr>
  </w:style>
  <w:style w:type="paragraph" w:customStyle="1" w:styleId="xl79">
    <w:name w:val="xl79"/>
    <w:basedOn w:val="Normal"/>
    <w:rsid w:val="000A0CB8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80">
    <w:name w:val="xl80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b/>
      <w:bCs/>
      <w:sz w:val="22"/>
      <w:szCs w:val="22"/>
    </w:rPr>
  </w:style>
  <w:style w:type="paragraph" w:customStyle="1" w:styleId="xl81">
    <w:name w:val="xl81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b/>
      <w:bCs/>
      <w:sz w:val="22"/>
      <w:szCs w:val="22"/>
    </w:rPr>
  </w:style>
  <w:style w:type="paragraph" w:customStyle="1" w:styleId="xl82">
    <w:name w:val="xl82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Cs w:val="24"/>
    </w:rPr>
  </w:style>
  <w:style w:type="paragraph" w:customStyle="1" w:styleId="xl83">
    <w:name w:val="xl83"/>
    <w:basedOn w:val="Normal"/>
    <w:rsid w:val="000A0CB8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Cs w:val="24"/>
    </w:rPr>
  </w:style>
  <w:style w:type="paragraph" w:customStyle="1" w:styleId="xl84">
    <w:name w:val="xl84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85">
    <w:name w:val="xl85"/>
    <w:basedOn w:val="Normal"/>
    <w:rsid w:val="000A0CB8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86">
    <w:name w:val="xl86"/>
    <w:basedOn w:val="Normal"/>
    <w:rsid w:val="000A0C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87">
    <w:name w:val="xl87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88">
    <w:name w:val="xl88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89">
    <w:name w:val="xl89"/>
    <w:basedOn w:val="Normal"/>
    <w:rsid w:val="000A0CB8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90">
    <w:name w:val="xl90"/>
    <w:basedOn w:val="Normal"/>
    <w:rsid w:val="000A0C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paragraph" w:customStyle="1" w:styleId="xl91">
    <w:name w:val="xl91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paragraph" w:customStyle="1" w:styleId="xl92">
    <w:name w:val="xl92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paragraph" w:customStyle="1" w:styleId="xl93">
    <w:name w:val="xl93"/>
    <w:basedOn w:val="Normal"/>
    <w:rsid w:val="000A0C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Cs w:val="24"/>
    </w:rPr>
  </w:style>
  <w:style w:type="paragraph" w:customStyle="1" w:styleId="xl94">
    <w:name w:val="xl94"/>
    <w:basedOn w:val="Normal"/>
    <w:rsid w:val="000A0CB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rFonts w:eastAsia="Arial Unicode MS" w:cs="Arial"/>
      <w:b/>
      <w:bCs/>
      <w:sz w:val="18"/>
      <w:szCs w:val="18"/>
    </w:rPr>
  </w:style>
  <w:style w:type="paragraph" w:customStyle="1" w:styleId="xl95">
    <w:name w:val="xl95"/>
    <w:basedOn w:val="Normal"/>
    <w:rsid w:val="000A0CB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rFonts w:eastAsia="Arial Unicode MS" w:cs="Arial"/>
      <w:b/>
      <w:bCs/>
      <w:sz w:val="18"/>
      <w:szCs w:val="18"/>
    </w:rPr>
  </w:style>
  <w:style w:type="paragraph" w:customStyle="1" w:styleId="xl96">
    <w:name w:val="xl96"/>
    <w:basedOn w:val="Normal"/>
    <w:rsid w:val="000A0CB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paragraph" w:customStyle="1" w:styleId="xl97">
    <w:name w:val="xl97"/>
    <w:basedOn w:val="Normal"/>
    <w:rsid w:val="000A0CB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customStyle="1" w:styleId="xl98">
    <w:name w:val="xl98"/>
    <w:basedOn w:val="Normal"/>
    <w:rsid w:val="000A0CB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paragraph" w:customStyle="1" w:styleId="xl99">
    <w:name w:val="xl99"/>
    <w:basedOn w:val="Normal"/>
    <w:rsid w:val="000A0CB8"/>
    <w:pPr>
      <w:pBdr>
        <w:top w:val="single" w:sz="8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paragraph" w:customStyle="1" w:styleId="xl100">
    <w:name w:val="xl100"/>
    <w:basedOn w:val="Normal"/>
    <w:rsid w:val="000A0CB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character" w:styleId="Forte">
    <w:name w:val="Strong"/>
    <w:qFormat/>
    <w:rsid w:val="007F6FF5"/>
    <w:rPr>
      <w:b/>
      <w:bCs/>
    </w:rPr>
  </w:style>
  <w:style w:type="paragraph" w:styleId="Textodebalo">
    <w:name w:val="Balloon Text"/>
    <w:basedOn w:val="Normal"/>
    <w:link w:val="TextodebaloChar"/>
    <w:rsid w:val="005261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526162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F43F6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tuloChar">
    <w:name w:val="Título Char"/>
    <w:link w:val="Ttulo"/>
    <w:rsid w:val="00F43F63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link">
    <w:name w:val="Hyperlink"/>
    <w:basedOn w:val="Fontepargpadro"/>
    <w:uiPriority w:val="99"/>
    <w:semiHidden/>
    <w:unhideWhenUsed/>
    <w:rsid w:val="00D563C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476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5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hyperlink" Target="mailto:comercial@vhconsultores.com.b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7.em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6.emf"/><Relationship Id="rId38" Type="http://schemas.openxmlformats.org/officeDocument/2006/relationships/hyperlink" Target="http://www.vhconsultores.com.br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header" Target="header2.xml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29.emf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header" Target="header1.xml"/><Relationship Id="rId35" Type="http://schemas.openxmlformats.org/officeDocument/2006/relationships/image" Target="media/image2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3575</Words>
  <Characters>19307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NÚCLEO DE GESTÃO DA CEASA-PE</vt:lpstr>
    </vt:vector>
  </TitlesOfParts>
  <Company>TRABALHO</Company>
  <LinksUpToDate>false</LinksUpToDate>
  <CharactersWithSpaces>22837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NÚCLEO DE GESTÃO DA CEASA-PE</dc:title>
  <dc:creator>NINHA</dc:creator>
  <cp:lastModifiedBy>Morais</cp:lastModifiedBy>
  <cp:revision>2</cp:revision>
  <cp:lastPrinted>2013-12-15T01:11:00Z</cp:lastPrinted>
  <dcterms:created xsi:type="dcterms:W3CDTF">2015-03-27T14:50:00Z</dcterms:created>
  <dcterms:modified xsi:type="dcterms:W3CDTF">2015-03-27T14:50:00Z</dcterms:modified>
</cp:coreProperties>
</file>