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5958"/>
      </w:tblGrid>
      <w:tr w:rsidR="007552E9" w:rsidRPr="00BF13CF">
        <w:trPr>
          <w:trHeight w:val="819"/>
        </w:trPr>
        <w:tc>
          <w:tcPr>
            <w:tcW w:w="960" w:type="dxa"/>
          </w:tcPr>
          <w:p w:rsidR="007552E9" w:rsidRPr="00B56B42" w:rsidRDefault="007552E9" w:rsidP="00BF13CF">
            <w:pPr>
              <w:autoSpaceDE w:val="0"/>
              <w:autoSpaceDN w:val="0"/>
              <w:adjustRightInd w:val="0"/>
              <w:jc w:val="center"/>
              <w:rPr>
                <w:rFonts w:ascii="BankGothic Md BT" w:hAnsi="BankGothic Md BT" w:cs="BankGothic Md BT"/>
                <w:b/>
                <w:bCs/>
                <w:color w:val="003300"/>
                <w:sz w:val="44"/>
                <w:szCs w:val="60"/>
              </w:rPr>
            </w:pPr>
            <w:r w:rsidRPr="00BF13CF">
              <w:rPr>
                <w:sz w:val="28"/>
              </w:rPr>
              <w:br w:type="page"/>
            </w:r>
            <w:r w:rsidR="00AB0B21">
              <w:rPr>
                <w:noProof/>
              </w:rPr>
              <w:drawing>
                <wp:inline distT="0" distB="0" distL="0" distR="0">
                  <wp:extent cx="390525" cy="552450"/>
                  <wp:effectExtent l="19050" t="0" r="9525"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5"/>
                          <a:srcRect/>
                          <a:stretch>
                            <a:fillRect/>
                          </a:stretch>
                        </pic:blipFill>
                        <pic:spPr bwMode="auto">
                          <a:xfrm>
                            <a:off x="0" y="0"/>
                            <a:ext cx="390525" cy="552450"/>
                          </a:xfrm>
                          <a:prstGeom prst="rect">
                            <a:avLst/>
                          </a:prstGeom>
                          <a:noFill/>
                          <a:ln w="9525">
                            <a:noFill/>
                            <a:miter lim="800000"/>
                            <a:headEnd/>
                            <a:tailEnd/>
                          </a:ln>
                        </pic:spPr>
                      </pic:pic>
                    </a:graphicData>
                  </a:graphic>
                </wp:inline>
              </w:drawing>
            </w:r>
          </w:p>
        </w:tc>
        <w:tc>
          <w:tcPr>
            <w:tcW w:w="5958" w:type="dxa"/>
            <w:vAlign w:val="center"/>
          </w:tcPr>
          <w:p w:rsidR="007552E9" w:rsidRPr="00B56B42" w:rsidRDefault="007552E9" w:rsidP="00BF13CF">
            <w:pPr>
              <w:autoSpaceDE w:val="0"/>
              <w:autoSpaceDN w:val="0"/>
              <w:adjustRightInd w:val="0"/>
              <w:jc w:val="center"/>
              <w:rPr>
                <w:rFonts w:ascii="Arial Narrow" w:hAnsi="Arial Narrow" w:cs="BankGothic Md BT"/>
                <w:b/>
                <w:bCs/>
                <w:color w:val="003300"/>
                <w:sz w:val="20"/>
              </w:rPr>
            </w:pPr>
            <w:r w:rsidRPr="00B56B42">
              <w:rPr>
                <w:rFonts w:ascii="Arial Narrow" w:hAnsi="Arial Narrow" w:cs="BankGothic Md BT"/>
                <w:b/>
                <w:bCs/>
                <w:color w:val="003300"/>
                <w:sz w:val="20"/>
              </w:rPr>
              <w:t>Resumo do Relatório do</w:t>
            </w:r>
            <w:r w:rsidR="00CD677E">
              <w:rPr>
                <w:rFonts w:ascii="Arial Narrow" w:hAnsi="Arial Narrow" w:cs="BankGothic Md BT"/>
                <w:b/>
                <w:bCs/>
                <w:color w:val="003300"/>
                <w:sz w:val="20"/>
              </w:rPr>
              <w:t>s Indicadores de Desempenho 2014</w:t>
            </w:r>
          </w:p>
          <w:p w:rsidR="007552E9" w:rsidRPr="00B56B42" w:rsidRDefault="007552E9" w:rsidP="00BF13CF">
            <w:pPr>
              <w:autoSpaceDE w:val="0"/>
              <w:autoSpaceDN w:val="0"/>
              <w:adjustRightInd w:val="0"/>
              <w:jc w:val="center"/>
              <w:rPr>
                <w:rFonts w:ascii="Arial Narrow" w:hAnsi="Arial Narrow" w:cs="BankGothic Md BT"/>
                <w:b/>
                <w:bCs/>
                <w:color w:val="003300"/>
                <w:sz w:val="20"/>
              </w:rPr>
            </w:pPr>
            <w:r w:rsidRPr="00B56B42">
              <w:rPr>
                <w:rFonts w:ascii="Arial Narrow" w:hAnsi="Arial Narrow" w:cs="BankGothic Md BT"/>
                <w:b/>
                <w:bCs/>
                <w:color w:val="003300"/>
                <w:sz w:val="20"/>
              </w:rPr>
              <w:t>Contrato de Gestão Nº 001/2008- Governo do Estado de PE</w:t>
            </w:r>
          </w:p>
          <w:p w:rsidR="007552E9" w:rsidRPr="00B56B42" w:rsidRDefault="007552E9" w:rsidP="00BF13CF">
            <w:pPr>
              <w:autoSpaceDE w:val="0"/>
              <w:autoSpaceDN w:val="0"/>
              <w:adjustRightInd w:val="0"/>
              <w:jc w:val="center"/>
              <w:rPr>
                <w:rFonts w:ascii="Arial Narrow" w:hAnsi="Arial Narrow" w:cs="BankGothic Md BT"/>
                <w:b/>
                <w:bCs/>
                <w:color w:val="003300"/>
                <w:sz w:val="20"/>
              </w:rPr>
            </w:pPr>
            <w:r w:rsidRPr="00B56B42">
              <w:rPr>
                <w:rFonts w:ascii="Arial Narrow" w:hAnsi="Arial Narrow" w:cs="BankGothic Md BT"/>
                <w:b/>
                <w:bCs/>
                <w:color w:val="003300"/>
                <w:sz w:val="20"/>
              </w:rPr>
              <w:t>Centro de Abastecimento e Logística de PE - CEASA/PE-OS</w:t>
            </w:r>
          </w:p>
          <w:p w:rsidR="007552E9" w:rsidRPr="00B56B42" w:rsidRDefault="007552E9" w:rsidP="00BF13CF">
            <w:pPr>
              <w:autoSpaceDE w:val="0"/>
              <w:autoSpaceDN w:val="0"/>
              <w:adjustRightInd w:val="0"/>
              <w:jc w:val="center"/>
              <w:rPr>
                <w:rFonts w:ascii="BankGothic Md BT" w:hAnsi="BankGothic Md BT" w:cs="BankGothic Md BT"/>
                <w:b/>
                <w:bCs/>
                <w:color w:val="003300"/>
                <w:sz w:val="16"/>
                <w:szCs w:val="16"/>
              </w:rPr>
            </w:pPr>
            <w:r w:rsidRPr="00B56B42">
              <w:rPr>
                <w:rFonts w:ascii="Arial Narrow" w:hAnsi="Arial Narrow" w:cs="BankGothic Md BT"/>
                <w:b/>
                <w:bCs/>
                <w:color w:val="003300"/>
                <w:sz w:val="16"/>
                <w:szCs w:val="16"/>
              </w:rPr>
              <w:t xml:space="preserve">CNPJ (MF) </w:t>
            </w:r>
            <w:proofErr w:type="gramStart"/>
            <w:r w:rsidRPr="00B56B42">
              <w:rPr>
                <w:rFonts w:ascii="Arial Narrow" w:hAnsi="Arial Narrow" w:cs="BankGothic Md BT"/>
                <w:b/>
                <w:bCs/>
                <w:color w:val="003300"/>
                <w:sz w:val="16"/>
                <w:szCs w:val="16"/>
              </w:rPr>
              <w:t>Nº06.</w:t>
            </w:r>
            <w:proofErr w:type="gramEnd"/>
            <w:r w:rsidRPr="00B56B42">
              <w:rPr>
                <w:rFonts w:ascii="Arial Narrow" w:hAnsi="Arial Narrow" w:cs="BankGothic Md BT"/>
                <w:b/>
                <w:bCs/>
                <w:color w:val="003300"/>
                <w:sz w:val="16"/>
                <w:szCs w:val="16"/>
              </w:rPr>
              <w:t>035.073/0001-03</w:t>
            </w:r>
          </w:p>
        </w:tc>
      </w:tr>
    </w:tbl>
    <w:p w:rsidR="007552E9" w:rsidRPr="00837635" w:rsidRDefault="007552E9" w:rsidP="00837635">
      <w:pPr>
        <w:spacing w:before="120"/>
        <w:jc w:val="both"/>
        <w:rPr>
          <w:rFonts w:ascii="Arial Narrow" w:hAnsi="Arial Narrow"/>
          <w:sz w:val="17"/>
          <w:szCs w:val="17"/>
        </w:rPr>
      </w:pPr>
      <w:r w:rsidRPr="00837635">
        <w:rPr>
          <w:rFonts w:ascii="Arial Narrow" w:hAnsi="Arial Narrow"/>
          <w:sz w:val="17"/>
          <w:szCs w:val="17"/>
        </w:rPr>
        <w:t xml:space="preserve">O </w:t>
      </w:r>
      <w:r>
        <w:rPr>
          <w:rFonts w:ascii="Arial Narrow" w:hAnsi="Arial Narrow"/>
          <w:sz w:val="17"/>
          <w:szCs w:val="17"/>
        </w:rPr>
        <w:t>presente instrumento</w:t>
      </w:r>
      <w:r w:rsidRPr="00837635">
        <w:rPr>
          <w:rFonts w:ascii="Arial Narrow" w:hAnsi="Arial Narrow"/>
          <w:sz w:val="17"/>
          <w:szCs w:val="17"/>
        </w:rPr>
        <w:t xml:space="preserve"> tem por finalidade</w:t>
      </w:r>
      <w:r>
        <w:rPr>
          <w:rFonts w:ascii="Arial Narrow" w:hAnsi="Arial Narrow"/>
          <w:sz w:val="17"/>
          <w:szCs w:val="17"/>
        </w:rPr>
        <w:t xml:space="preserve"> realizar um</w:t>
      </w:r>
      <w:r w:rsidRPr="00837635">
        <w:rPr>
          <w:rFonts w:ascii="Arial Narrow" w:hAnsi="Arial Narrow"/>
          <w:sz w:val="17"/>
          <w:szCs w:val="17"/>
        </w:rPr>
        <w:t>a análise de desempenho do CEASA-</w:t>
      </w:r>
      <w:proofErr w:type="gramStart"/>
      <w:r w:rsidRPr="00837635">
        <w:rPr>
          <w:rFonts w:ascii="Arial Narrow" w:hAnsi="Arial Narrow"/>
          <w:sz w:val="17"/>
          <w:szCs w:val="17"/>
        </w:rPr>
        <w:t>PE/O.</w:t>
      </w:r>
      <w:proofErr w:type="gramEnd"/>
      <w:r>
        <w:rPr>
          <w:rFonts w:ascii="Arial Narrow" w:hAnsi="Arial Narrow"/>
          <w:sz w:val="17"/>
          <w:szCs w:val="17"/>
        </w:rPr>
        <w:t xml:space="preserve">S, no período fevereiro de 2004 </w:t>
      </w:r>
      <w:r w:rsidRPr="00837635">
        <w:rPr>
          <w:rFonts w:ascii="Arial Narrow" w:hAnsi="Arial Narrow"/>
          <w:sz w:val="17"/>
          <w:szCs w:val="17"/>
        </w:rPr>
        <w:t>a</w:t>
      </w:r>
      <w:r>
        <w:rPr>
          <w:rFonts w:ascii="Arial Narrow" w:hAnsi="Arial Narrow"/>
          <w:sz w:val="17"/>
          <w:szCs w:val="17"/>
        </w:rPr>
        <w:t xml:space="preserve"> dezembro de 201</w:t>
      </w:r>
      <w:r w:rsidR="00CD677E">
        <w:rPr>
          <w:rFonts w:ascii="Arial Narrow" w:hAnsi="Arial Narrow"/>
          <w:sz w:val="17"/>
          <w:szCs w:val="17"/>
        </w:rPr>
        <w:t>4</w:t>
      </w:r>
      <w:r w:rsidRPr="00837635">
        <w:rPr>
          <w:rFonts w:ascii="Arial Narrow" w:hAnsi="Arial Narrow"/>
          <w:sz w:val="17"/>
          <w:szCs w:val="17"/>
        </w:rPr>
        <w:t>, a partir dos indicadores definidos no Plano Estratégico de Ação 2003/2004 e consolidados no Plano de Ação 2008/2009</w:t>
      </w:r>
      <w:r>
        <w:rPr>
          <w:rFonts w:ascii="Arial Narrow" w:hAnsi="Arial Narrow"/>
          <w:sz w:val="17"/>
          <w:szCs w:val="17"/>
        </w:rPr>
        <w:t xml:space="preserve"> e reajustado no Plano 2012/2014</w:t>
      </w:r>
      <w:r w:rsidRPr="00837635">
        <w:rPr>
          <w:rFonts w:ascii="Arial Narrow" w:hAnsi="Arial Narrow"/>
          <w:sz w:val="17"/>
          <w:szCs w:val="17"/>
        </w:rPr>
        <w:t>. Também será contemplada a avaliação dos aspectos de gestão da nova estrutura com base nos demonstrativ</w:t>
      </w:r>
      <w:r>
        <w:rPr>
          <w:rFonts w:ascii="Arial Narrow" w:hAnsi="Arial Narrow"/>
          <w:sz w:val="17"/>
          <w:szCs w:val="17"/>
        </w:rPr>
        <w:t>os de resultados da Organização</w:t>
      </w:r>
      <w:r w:rsidR="00CD677E">
        <w:rPr>
          <w:rFonts w:ascii="Arial Narrow" w:hAnsi="Arial Narrow"/>
          <w:sz w:val="17"/>
          <w:szCs w:val="17"/>
        </w:rPr>
        <w:t xml:space="preserve"> e os comparativos de desempenho dos 04 (quatro) trimestres de 2014 e o consolidado do ano de 2014</w:t>
      </w:r>
      <w:r>
        <w:rPr>
          <w:rFonts w:ascii="Arial Narrow" w:hAnsi="Arial Narrow"/>
          <w:sz w:val="17"/>
          <w:szCs w:val="17"/>
        </w:rPr>
        <w:t>.</w:t>
      </w:r>
    </w:p>
    <w:p w:rsidR="007552E9" w:rsidRPr="00837635" w:rsidRDefault="007552E9" w:rsidP="00837635">
      <w:pPr>
        <w:pStyle w:val="NormalWeb"/>
        <w:spacing w:before="120" w:beforeAutospacing="0" w:after="0" w:afterAutospacing="0"/>
        <w:jc w:val="both"/>
        <w:rPr>
          <w:rFonts w:ascii="Arial Narrow" w:hAnsi="Arial Narrow" w:cs="Arial"/>
          <w:color w:val="auto"/>
          <w:sz w:val="17"/>
          <w:szCs w:val="17"/>
        </w:rPr>
      </w:pPr>
      <w:r w:rsidRPr="00837635">
        <w:rPr>
          <w:rFonts w:ascii="Arial Narrow" w:hAnsi="Arial Narrow" w:cs="Arial"/>
          <w:sz w:val="17"/>
          <w:szCs w:val="17"/>
        </w:rPr>
        <w:t>Os</w:t>
      </w:r>
      <w:r w:rsidRPr="00837635">
        <w:rPr>
          <w:rFonts w:ascii="Arial Narrow" w:hAnsi="Arial Narrow" w:cs="Arial"/>
          <w:color w:val="auto"/>
          <w:sz w:val="17"/>
          <w:szCs w:val="17"/>
        </w:rPr>
        <w:t xml:space="preserve"> indicadores adotados para aferir o desempenho da </w:t>
      </w:r>
      <w:proofErr w:type="spellStart"/>
      <w:r w:rsidRPr="00837635">
        <w:rPr>
          <w:rFonts w:ascii="Arial Narrow" w:hAnsi="Arial Narrow" w:cs="Arial"/>
          <w:color w:val="auto"/>
          <w:sz w:val="17"/>
          <w:szCs w:val="17"/>
        </w:rPr>
        <w:t>O.S.</w:t>
      </w:r>
      <w:proofErr w:type="spellEnd"/>
      <w:r w:rsidRPr="00837635">
        <w:rPr>
          <w:rFonts w:ascii="Arial Narrow" w:hAnsi="Arial Narrow" w:cs="Arial"/>
          <w:color w:val="auto"/>
          <w:sz w:val="17"/>
          <w:szCs w:val="17"/>
        </w:rPr>
        <w:t xml:space="preserve"> contemplam fatores que refletem diretamente na sustentação da estrutura e retratando aspectos econômico-financeiros, ambiente de trabalho, qualidade na prestação de serviços e imagem perante a sociedade.</w:t>
      </w:r>
    </w:p>
    <w:p w:rsidR="007552E9" w:rsidRPr="00837635" w:rsidRDefault="007552E9" w:rsidP="00837635">
      <w:pPr>
        <w:pStyle w:val="NormalWeb"/>
        <w:spacing w:before="120" w:beforeAutospacing="0" w:after="0" w:afterAutospacing="0"/>
        <w:jc w:val="both"/>
        <w:rPr>
          <w:rFonts w:ascii="Arial Narrow" w:hAnsi="Arial Narrow" w:cs="Arial"/>
          <w:color w:val="auto"/>
          <w:sz w:val="17"/>
          <w:szCs w:val="17"/>
        </w:rPr>
      </w:pPr>
      <w:r w:rsidRPr="00837635">
        <w:rPr>
          <w:rFonts w:ascii="Arial Narrow" w:hAnsi="Arial Narrow" w:cs="Arial"/>
          <w:color w:val="auto"/>
          <w:sz w:val="17"/>
          <w:szCs w:val="17"/>
        </w:rPr>
        <w:t xml:space="preserve">O monitoramento sistemático dos Indicadores é fundamental para que se possa avaliar o desempenho real da </w:t>
      </w:r>
      <w:proofErr w:type="spellStart"/>
      <w:r w:rsidRPr="00837635">
        <w:rPr>
          <w:rFonts w:ascii="Arial Narrow" w:hAnsi="Arial Narrow" w:cs="Arial"/>
          <w:color w:val="auto"/>
          <w:sz w:val="17"/>
          <w:szCs w:val="17"/>
        </w:rPr>
        <w:t>O.S.</w:t>
      </w:r>
      <w:proofErr w:type="spellEnd"/>
      <w:r w:rsidRPr="00837635">
        <w:rPr>
          <w:rFonts w:ascii="Arial Narrow" w:hAnsi="Arial Narrow" w:cs="Arial"/>
          <w:color w:val="auto"/>
          <w:sz w:val="17"/>
          <w:szCs w:val="17"/>
        </w:rPr>
        <w:t>, direcionando as medidas de gestão da organização.</w:t>
      </w:r>
    </w:p>
    <w:p w:rsidR="007552E9" w:rsidRPr="00837635" w:rsidRDefault="007552E9" w:rsidP="00837635">
      <w:pPr>
        <w:pStyle w:val="NormalWeb"/>
        <w:spacing w:before="120" w:beforeAutospacing="0" w:after="0" w:afterAutospacing="0"/>
        <w:jc w:val="both"/>
        <w:rPr>
          <w:rFonts w:ascii="Arial Narrow" w:hAnsi="Arial Narrow" w:cs="Arial"/>
          <w:color w:val="auto"/>
          <w:sz w:val="17"/>
          <w:szCs w:val="17"/>
        </w:rPr>
      </w:pPr>
      <w:r w:rsidRPr="00837635">
        <w:rPr>
          <w:rFonts w:ascii="Arial Narrow" w:hAnsi="Arial Narrow" w:cs="Arial"/>
          <w:color w:val="auto"/>
          <w:sz w:val="17"/>
          <w:szCs w:val="17"/>
        </w:rPr>
        <w:t>A seguir, serão expostos os indicadores, sua composição e aplicabilidade para que se tenha uma visão ampla do contexto em que os resultados serão analisados.</w:t>
      </w:r>
    </w:p>
    <w:p w:rsidR="007552E9" w:rsidRPr="00837635" w:rsidRDefault="007552E9" w:rsidP="00837635">
      <w:pPr>
        <w:pStyle w:val="Ttulo9"/>
        <w:numPr>
          <w:ilvl w:val="0"/>
          <w:numId w:val="1"/>
        </w:numPr>
        <w:tabs>
          <w:tab w:val="clear" w:pos="765"/>
          <w:tab w:val="num" w:pos="426"/>
        </w:tabs>
        <w:spacing w:before="120" w:line="360" w:lineRule="auto"/>
        <w:ind w:hanging="765"/>
        <w:rPr>
          <w:rFonts w:ascii="Arial Narrow" w:hAnsi="Arial Narrow"/>
          <w:b/>
          <w:sz w:val="17"/>
          <w:szCs w:val="17"/>
        </w:rPr>
      </w:pPr>
      <w:r w:rsidRPr="00837635">
        <w:rPr>
          <w:rFonts w:ascii="Arial Narrow" w:hAnsi="Arial Narrow"/>
          <w:b/>
          <w:sz w:val="17"/>
          <w:szCs w:val="17"/>
        </w:rPr>
        <w:t>Os</w:t>
      </w:r>
      <w:proofErr w:type="gramStart"/>
      <w:r>
        <w:rPr>
          <w:rFonts w:ascii="Arial Narrow" w:hAnsi="Arial Narrow"/>
          <w:b/>
          <w:sz w:val="17"/>
          <w:szCs w:val="17"/>
        </w:rPr>
        <w:t xml:space="preserve"> </w:t>
      </w:r>
      <w:r w:rsidRPr="00837635">
        <w:rPr>
          <w:rFonts w:ascii="Arial Narrow" w:hAnsi="Arial Narrow"/>
          <w:b/>
          <w:sz w:val="17"/>
          <w:szCs w:val="17"/>
        </w:rPr>
        <w:t xml:space="preserve"> </w:t>
      </w:r>
      <w:proofErr w:type="gramEnd"/>
      <w:r w:rsidRPr="00837635">
        <w:rPr>
          <w:rFonts w:ascii="Arial Narrow" w:hAnsi="Arial Narrow"/>
          <w:b/>
          <w:sz w:val="17"/>
          <w:szCs w:val="17"/>
        </w:rPr>
        <w:t>Indicadores</w:t>
      </w:r>
    </w:p>
    <w:p w:rsidR="007552E9" w:rsidRPr="00837635" w:rsidRDefault="007552E9" w:rsidP="00837635">
      <w:pPr>
        <w:spacing w:before="120" w:line="360" w:lineRule="auto"/>
        <w:jc w:val="both"/>
        <w:rPr>
          <w:rFonts w:ascii="Arial Narrow" w:hAnsi="Arial Narrow"/>
          <w:sz w:val="17"/>
          <w:szCs w:val="17"/>
        </w:rPr>
      </w:pPr>
      <w:r>
        <w:rPr>
          <w:rFonts w:ascii="Arial Narrow" w:hAnsi="Arial Narrow"/>
          <w:sz w:val="17"/>
          <w:szCs w:val="17"/>
        </w:rPr>
        <w:t>Os 08</w:t>
      </w:r>
      <w:r w:rsidRPr="00837635">
        <w:rPr>
          <w:rFonts w:ascii="Arial Narrow" w:hAnsi="Arial Narrow"/>
          <w:sz w:val="17"/>
          <w:szCs w:val="17"/>
        </w:rPr>
        <w:t xml:space="preserve"> indicadores de posição adotados para aferição de resultados são os seguintes: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606"/>
        <w:gridCol w:w="1942"/>
        <w:gridCol w:w="1975"/>
        <w:gridCol w:w="1226"/>
      </w:tblGrid>
      <w:tr w:rsidR="007552E9" w:rsidRPr="00B85804">
        <w:tc>
          <w:tcPr>
            <w:tcW w:w="1397" w:type="dxa"/>
            <w:shd w:val="clear" w:color="auto" w:fill="D6E3BC"/>
            <w:vAlign w:val="center"/>
          </w:tcPr>
          <w:p w:rsidR="007552E9" w:rsidRPr="00837635" w:rsidRDefault="007552E9" w:rsidP="006D47AB">
            <w:pPr>
              <w:spacing w:before="100" w:beforeAutospacing="1" w:after="100" w:afterAutospacing="1"/>
              <w:jc w:val="center"/>
              <w:rPr>
                <w:rFonts w:ascii="Arial Narrow" w:hAnsi="Arial Narrow"/>
                <w:b/>
                <w:color w:val="000000"/>
                <w:sz w:val="14"/>
                <w:szCs w:val="14"/>
              </w:rPr>
            </w:pPr>
            <w:r w:rsidRPr="00837635">
              <w:rPr>
                <w:rFonts w:ascii="Arial Narrow" w:hAnsi="Arial Narrow"/>
                <w:b/>
                <w:color w:val="000000"/>
                <w:sz w:val="14"/>
                <w:szCs w:val="14"/>
              </w:rPr>
              <w:t>INDICADOR</w:t>
            </w:r>
          </w:p>
        </w:tc>
        <w:tc>
          <w:tcPr>
            <w:tcW w:w="606" w:type="dxa"/>
            <w:shd w:val="clear" w:color="auto" w:fill="D6E3BC"/>
            <w:vAlign w:val="center"/>
          </w:tcPr>
          <w:p w:rsidR="007552E9" w:rsidRPr="00837635" w:rsidRDefault="007552E9" w:rsidP="007806F9">
            <w:pPr>
              <w:spacing w:before="100" w:beforeAutospacing="1" w:after="100" w:afterAutospacing="1"/>
              <w:jc w:val="center"/>
              <w:rPr>
                <w:rFonts w:ascii="Arial Narrow" w:hAnsi="Arial Narrow"/>
                <w:b/>
                <w:color w:val="000000"/>
                <w:sz w:val="14"/>
                <w:szCs w:val="14"/>
              </w:rPr>
            </w:pPr>
            <w:r w:rsidRPr="00837635">
              <w:rPr>
                <w:rFonts w:ascii="Arial Narrow" w:hAnsi="Arial Narrow"/>
                <w:b/>
                <w:color w:val="000000"/>
                <w:sz w:val="14"/>
                <w:szCs w:val="14"/>
              </w:rPr>
              <w:t>SIGLA</w:t>
            </w:r>
          </w:p>
        </w:tc>
        <w:tc>
          <w:tcPr>
            <w:tcW w:w="1942" w:type="dxa"/>
            <w:shd w:val="clear" w:color="auto" w:fill="D6E3BC"/>
            <w:vAlign w:val="center"/>
          </w:tcPr>
          <w:p w:rsidR="007552E9" w:rsidRPr="00837635" w:rsidRDefault="007552E9" w:rsidP="006D47AB">
            <w:pPr>
              <w:spacing w:before="100" w:beforeAutospacing="1" w:after="100" w:afterAutospacing="1"/>
              <w:jc w:val="center"/>
              <w:rPr>
                <w:rFonts w:ascii="Arial Narrow" w:hAnsi="Arial Narrow"/>
                <w:b/>
                <w:color w:val="000000"/>
                <w:sz w:val="14"/>
                <w:szCs w:val="14"/>
              </w:rPr>
            </w:pPr>
            <w:r w:rsidRPr="00837635">
              <w:rPr>
                <w:rFonts w:ascii="Arial Narrow" w:hAnsi="Arial Narrow"/>
                <w:b/>
                <w:color w:val="000000"/>
                <w:sz w:val="14"/>
                <w:szCs w:val="14"/>
              </w:rPr>
              <w:t>DESCRIÇÃO / FINALIDADE</w:t>
            </w:r>
          </w:p>
        </w:tc>
        <w:tc>
          <w:tcPr>
            <w:tcW w:w="1975" w:type="dxa"/>
            <w:shd w:val="clear" w:color="auto" w:fill="D6E3BC"/>
            <w:vAlign w:val="center"/>
          </w:tcPr>
          <w:p w:rsidR="007552E9" w:rsidRPr="00B85804" w:rsidRDefault="007552E9" w:rsidP="007806F9">
            <w:pPr>
              <w:spacing w:before="100" w:beforeAutospacing="1" w:after="100" w:afterAutospacing="1"/>
              <w:jc w:val="center"/>
              <w:rPr>
                <w:rFonts w:ascii="Arial Narrow" w:hAnsi="Arial Narrow"/>
                <w:b/>
                <w:color w:val="000000"/>
                <w:sz w:val="15"/>
                <w:szCs w:val="15"/>
              </w:rPr>
            </w:pPr>
            <w:r w:rsidRPr="00B85804">
              <w:rPr>
                <w:rFonts w:ascii="Arial Narrow" w:hAnsi="Arial Narrow"/>
                <w:b/>
                <w:color w:val="000000"/>
                <w:sz w:val="15"/>
                <w:szCs w:val="15"/>
              </w:rPr>
              <w:t>FORMA DE CÁLCULO</w:t>
            </w:r>
          </w:p>
        </w:tc>
        <w:tc>
          <w:tcPr>
            <w:tcW w:w="1226" w:type="dxa"/>
            <w:shd w:val="clear" w:color="auto" w:fill="D6E3BC"/>
            <w:vAlign w:val="center"/>
          </w:tcPr>
          <w:p w:rsidR="007552E9" w:rsidRPr="00B85804" w:rsidRDefault="007552E9" w:rsidP="00BF13CF">
            <w:pPr>
              <w:spacing w:before="100" w:beforeAutospacing="1" w:after="100" w:afterAutospacing="1"/>
              <w:jc w:val="center"/>
              <w:rPr>
                <w:rFonts w:ascii="Arial Narrow" w:hAnsi="Arial Narrow"/>
                <w:b/>
                <w:color w:val="000000"/>
                <w:sz w:val="15"/>
                <w:szCs w:val="15"/>
              </w:rPr>
            </w:pPr>
            <w:r w:rsidRPr="00B85804">
              <w:rPr>
                <w:rFonts w:ascii="Arial Narrow" w:hAnsi="Arial Narrow"/>
                <w:b/>
                <w:color w:val="000000"/>
                <w:sz w:val="15"/>
                <w:szCs w:val="15"/>
              </w:rPr>
              <w:t>PERIODICIDADE DE APURAÇÃO</w:t>
            </w:r>
          </w:p>
        </w:tc>
      </w:tr>
      <w:tr w:rsidR="007552E9" w:rsidRPr="00B85804">
        <w:tc>
          <w:tcPr>
            <w:tcW w:w="1397"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Participação dos custos fixos</w:t>
            </w:r>
          </w:p>
        </w:tc>
        <w:tc>
          <w:tcPr>
            <w:tcW w:w="606"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IPCF</w:t>
            </w:r>
          </w:p>
        </w:tc>
        <w:tc>
          <w:tcPr>
            <w:tcW w:w="1942"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Verificar a participação percentual dos custos fixos sobre a receita</w:t>
            </w:r>
          </w:p>
        </w:tc>
        <w:tc>
          <w:tcPr>
            <w:tcW w:w="1975" w:type="dxa"/>
            <w:vAlign w:val="center"/>
          </w:tcPr>
          <w:p w:rsidR="007552E9" w:rsidRPr="00B85804" w:rsidRDefault="007552E9" w:rsidP="006D47AB">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Dividir o total dos custos fixos pela receita total do período</w:t>
            </w:r>
          </w:p>
        </w:tc>
        <w:tc>
          <w:tcPr>
            <w:tcW w:w="1226"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r w:rsidR="007552E9" w:rsidRPr="00B85804">
        <w:tc>
          <w:tcPr>
            <w:tcW w:w="1397"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Liquidez corrente</w:t>
            </w:r>
          </w:p>
        </w:tc>
        <w:tc>
          <w:tcPr>
            <w:tcW w:w="606"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ILC</w:t>
            </w:r>
          </w:p>
        </w:tc>
        <w:tc>
          <w:tcPr>
            <w:tcW w:w="1942"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Avaliar a capacidade da organização em cumprir as obrigações de curto prazo</w:t>
            </w:r>
          </w:p>
        </w:tc>
        <w:tc>
          <w:tcPr>
            <w:tcW w:w="1975" w:type="dxa"/>
            <w:vAlign w:val="center"/>
          </w:tcPr>
          <w:p w:rsidR="007552E9" w:rsidRPr="00B85804" w:rsidRDefault="007552E9" w:rsidP="006D47AB">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Dividir o saldo total do ativo circulante pelo saldo total do passivo circulante</w:t>
            </w:r>
          </w:p>
        </w:tc>
        <w:tc>
          <w:tcPr>
            <w:tcW w:w="1226"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r w:rsidR="007552E9" w:rsidRPr="00B85804">
        <w:tc>
          <w:tcPr>
            <w:tcW w:w="1397"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Volume por ocupação</w:t>
            </w:r>
          </w:p>
        </w:tc>
        <w:tc>
          <w:tcPr>
            <w:tcW w:w="606"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IVO</w:t>
            </w:r>
          </w:p>
        </w:tc>
        <w:tc>
          <w:tcPr>
            <w:tcW w:w="1942"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Avaliar a lucratividade por M²</w:t>
            </w:r>
          </w:p>
        </w:tc>
        <w:tc>
          <w:tcPr>
            <w:tcW w:w="1975" w:type="dxa"/>
            <w:vAlign w:val="center"/>
          </w:tcPr>
          <w:p w:rsidR="007552E9" w:rsidRPr="00B85804" w:rsidRDefault="007552E9" w:rsidP="006D47AB">
            <w:pPr>
              <w:spacing w:before="100" w:beforeAutospacing="1" w:after="100" w:afterAutospacing="1"/>
              <w:jc w:val="both"/>
              <w:rPr>
                <w:rFonts w:ascii="Arial Narrow" w:hAnsi="Arial Narrow"/>
                <w:color w:val="000000"/>
                <w:sz w:val="15"/>
                <w:szCs w:val="15"/>
              </w:rPr>
            </w:pPr>
            <w:r>
              <w:rPr>
                <w:rFonts w:ascii="Arial Narrow" w:hAnsi="Arial Narrow"/>
                <w:color w:val="000000"/>
                <w:sz w:val="15"/>
                <w:szCs w:val="15"/>
              </w:rPr>
              <w:t xml:space="preserve">Dividir a média do volume </w:t>
            </w:r>
            <w:proofErr w:type="gramStart"/>
            <w:r>
              <w:rPr>
                <w:rFonts w:ascii="Arial Narrow" w:hAnsi="Arial Narrow"/>
                <w:color w:val="000000"/>
                <w:sz w:val="15"/>
                <w:szCs w:val="15"/>
              </w:rPr>
              <w:t>comercializado(</w:t>
            </w:r>
            <w:proofErr w:type="gramEnd"/>
            <w:r>
              <w:rPr>
                <w:rFonts w:ascii="Arial Narrow" w:hAnsi="Arial Narrow"/>
                <w:color w:val="000000"/>
                <w:sz w:val="15"/>
                <w:szCs w:val="15"/>
              </w:rPr>
              <w:t>TON) pela média da área ocupada em M²</w:t>
            </w:r>
          </w:p>
        </w:tc>
        <w:tc>
          <w:tcPr>
            <w:tcW w:w="1226"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r w:rsidR="007552E9" w:rsidRPr="00B85804" w:rsidTr="004453A8">
        <w:trPr>
          <w:trHeight w:val="364"/>
        </w:trPr>
        <w:tc>
          <w:tcPr>
            <w:tcW w:w="1397" w:type="dxa"/>
            <w:vAlign w:val="center"/>
          </w:tcPr>
          <w:p w:rsidR="007552E9" w:rsidRPr="00837635" w:rsidRDefault="007552E9" w:rsidP="00CD3D85">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Ocupação da área disponível</w:t>
            </w:r>
          </w:p>
        </w:tc>
        <w:tc>
          <w:tcPr>
            <w:tcW w:w="606" w:type="dxa"/>
            <w:vAlign w:val="center"/>
          </w:tcPr>
          <w:p w:rsidR="007552E9" w:rsidRPr="00837635" w:rsidRDefault="007552E9" w:rsidP="00CD3D85">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IOAD</w:t>
            </w:r>
          </w:p>
        </w:tc>
        <w:tc>
          <w:tcPr>
            <w:tcW w:w="1942" w:type="dxa"/>
            <w:vAlign w:val="center"/>
          </w:tcPr>
          <w:p w:rsidR="007552E9" w:rsidRPr="00837635" w:rsidRDefault="007552E9" w:rsidP="00CD3D85">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Verificar a evolução da ocupação da área disponível para locação</w:t>
            </w:r>
          </w:p>
        </w:tc>
        <w:tc>
          <w:tcPr>
            <w:tcW w:w="1975" w:type="dxa"/>
            <w:vAlign w:val="center"/>
          </w:tcPr>
          <w:p w:rsidR="007552E9" w:rsidRPr="00B85804" w:rsidRDefault="007552E9" w:rsidP="00CD3D85">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Dividir a área total ocupada (m²) pela área total disponível para locação (m²)</w:t>
            </w:r>
          </w:p>
        </w:tc>
        <w:tc>
          <w:tcPr>
            <w:tcW w:w="1226" w:type="dxa"/>
            <w:vAlign w:val="center"/>
          </w:tcPr>
          <w:p w:rsidR="007552E9" w:rsidRPr="00B85804" w:rsidRDefault="007552E9" w:rsidP="00CD3D85">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r w:rsidR="007552E9" w:rsidRPr="00B85804">
        <w:tc>
          <w:tcPr>
            <w:tcW w:w="1397" w:type="dxa"/>
            <w:vAlign w:val="center"/>
          </w:tcPr>
          <w:p w:rsidR="007552E9" w:rsidRPr="00837635" w:rsidRDefault="007552E9" w:rsidP="004453A8">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Resultado líquido aplicável</w:t>
            </w:r>
          </w:p>
        </w:tc>
        <w:tc>
          <w:tcPr>
            <w:tcW w:w="606" w:type="dxa"/>
            <w:vAlign w:val="center"/>
          </w:tcPr>
          <w:p w:rsidR="007552E9" w:rsidRPr="00837635" w:rsidRDefault="007552E9" w:rsidP="004453A8">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IRLA</w:t>
            </w:r>
          </w:p>
        </w:tc>
        <w:tc>
          <w:tcPr>
            <w:tcW w:w="1942" w:type="dxa"/>
            <w:vAlign w:val="center"/>
          </w:tcPr>
          <w:p w:rsidR="007552E9" w:rsidRPr="00837635" w:rsidRDefault="007552E9" w:rsidP="004453A8">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Verificar o percentual disponível para reinvestir nos próximos exercícios</w:t>
            </w:r>
          </w:p>
        </w:tc>
        <w:tc>
          <w:tcPr>
            <w:tcW w:w="1975" w:type="dxa"/>
            <w:vAlign w:val="center"/>
          </w:tcPr>
          <w:p w:rsidR="007552E9" w:rsidRPr="00B85804" w:rsidRDefault="007552E9" w:rsidP="004453A8">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Dividir o resultado líquido pelo faturamento total do período</w:t>
            </w:r>
          </w:p>
        </w:tc>
        <w:tc>
          <w:tcPr>
            <w:tcW w:w="1226" w:type="dxa"/>
            <w:vAlign w:val="center"/>
          </w:tcPr>
          <w:p w:rsidR="007552E9" w:rsidRPr="00B85804" w:rsidRDefault="007552E9" w:rsidP="004453A8">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r w:rsidR="007552E9" w:rsidRPr="00B85804">
        <w:tc>
          <w:tcPr>
            <w:tcW w:w="1397"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Participação do custo de pessoal no faturamento</w:t>
            </w:r>
          </w:p>
        </w:tc>
        <w:tc>
          <w:tcPr>
            <w:tcW w:w="606"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IPCP</w:t>
            </w:r>
          </w:p>
        </w:tc>
        <w:tc>
          <w:tcPr>
            <w:tcW w:w="1942" w:type="dxa"/>
            <w:vAlign w:val="center"/>
          </w:tcPr>
          <w:p w:rsidR="007552E9" w:rsidRPr="00837635" w:rsidRDefault="007552E9" w:rsidP="006D47AB">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 xml:space="preserve">Verificar o comprometimento das receitas </w:t>
            </w:r>
            <w:r>
              <w:rPr>
                <w:rFonts w:ascii="Arial Narrow" w:hAnsi="Arial Narrow"/>
                <w:color w:val="000000"/>
                <w:sz w:val="14"/>
                <w:szCs w:val="14"/>
              </w:rPr>
              <w:t xml:space="preserve">da </w:t>
            </w:r>
            <w:proofErr w:type="spellStart"/>
            <w:r>
              <w:rPr>
                <w:rFonts w:ascii="Arial Narrow" w:hAnsi="Arial Narrow"/>
                <w:color w:val="000000"/>
                <w:sz w:val="14"/>
                <w:szCs w:val="14"/>
              </w:rPr>
              <w:t>O.S.</w:t>
            </w:r>
            <w:proofErr w:type="spellEnd"/>
            <w:r>
              <w:rPr>
                <w:rFonts w:ascii="Arial Narrow" w:hAnsi="Arial Narrow"/>
                <w:color w:val="000000"/>
                <w:sz w:val="14"/>
                <w:szCs w:val="14"/>
              </w:rPr>
              <w:t xml:space="preserve"> </w:t>
            </w:r>
            <w:r w:rsidRPr="00837635">
              <w:rPr>
                <w:rFonts w:ascii="Arial Narrow" w:hAnsi="Arial Narrow"/>
                <w:color w:val="000000"/>
                <w:sz w:val="14"/>
                <w:szCs w:val="14"/>
              </w:rPr>
              <w:t>com a folha de pagamento</w:t>
            </w:r>
          </w:p>
        </w:tc>
        <w:tc>
          <w:tcPr>
            <w:tcW w:w="1975" w:type="dxa"/>
            <w:vAlign w:val="center"/>
          </w:tcPr>
          <w:p w:rsidR="007552E9" w:rsidRPr="00B85804" w:rsidRDefault="007552E9" w:rsidP="006D47AB">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Dividir o valor total gasto com pessoal (incluindo benefícios) pela receita total do período</w:t>
            </w:r>
          </w:p>
        </w:tc>
        <w:tc>
          <w:tcPr>
            <w:tcW w:w="1226"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r w:rsidR="007552E9" w:rsidRPr="00B85804">
        <w:tc>
          <w:tcPr>
            <w:tcW w:w="1397"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Eficiência na cobrança das tarifas</w:t>
            </w:r>
          </w:p>
        </w:tc>
        <w:tc>
          <w:tcPr>
            <w:tcW w:w="606" w:type="dxa"/>
            <w:vAlign w:val="center"/>
          </w:tcPr>
          <w:p w:rsidR="007552E9" w:rsidRPr="00837635" w:rsidRDefault="007552E9" w:rsidP="007806F9">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IET</w:t>
            </w:r>
          </w:p>
        </w:tc>
        <w:tc>
          <w:tcPr>
            <w:tcW w:w="1942"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Verificar o grau de eficiência na cobrança das taxas (TPRU) de forma reduzir percentual de créditos não convertidos</w:t>
            </w:r>
          </w:p>
        </w:tc>
        <w:tc>
          <w:tcPr>
            <w:tcW w:w="1975"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Dividir o valor em atraso pelo total faturado com as taxas (TPRU)</w:t>
            </w:r>
          </w:p>
        </w:tc>
        <w:tc>
          <w:tcPr>
            <w:tcW w:w="1226" w:type="dxa"/>
            <w:vAlign w:val="center"/>
          </w:tcPr>
          <w:p w:rsidR="007552E9" w:rsidRPr="00B85804" w:rsidRDefault="007552E9" w:rsidP="007806F9">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r w:rsidR="007552E9" w:rsidRPr="00B85804">
        <w:tc>
          <w:tcPr>
            <w:tcW w:w="1397"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Custo total pelo volume comercializado</w:t>
            </w:r>
          </w:p>
        </w:tc>
        <w:tc>
          <w:tcPr>
            <w:tcW w:w="606"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sidRPr="00837635">
              <w:rPr>
                <w:rFonts w:ascii="Arial Narrow" w:hAnsi="Arial Narrow"/>
                <w:color w:val="000000"/>
                <w:sz w:val="14"/>
                <w:szCs w:val="14"/>
              </w:rPr>
              <w:t>ICVC</w:t>
            </w:r>
          </w:p>
        </w:tc>
        <w:tc>
          <w:tcPr>
            <w:tcW w:w="1942"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sidRPr="00522F10">
              <w:rPr>
                <w:rFonts w:ascii="Arial Narrow" w:hAnsi="Arial Narrow"/>
                <w:color w:val="000000"/>
                <w:sz w:val="12"/>
                <w:szCs w:val="12"/>
              </w:rPr>
              <w:t>Avaliar o custo total da estrutura em função do volume</w:t>
            </w:r>
            <w:r w:rsidRPr="00837635">
              <w:rPr>
                <w:rFonts w:ascii="Arial Narrow" w:hAnsi="Arial Narrow"/>
                <w:color w:val="000000"/>
                <w:sz w:val="14"/>
                <w:szCs w:val="14"/>
              </w:rPr>
              <w:t xml:space="preserve"> </w:t>
            </w:r>
            <w:r w:rsidRPr="00522F10">
              <w:rPr>
                <w:rFonts w:ascii="Arial Narrow" w:hAnsi="Arial Narrow"/>
                <w:color w:val="000000"/>
                <w:sz w:val="12"/>
                <w:szCs w:val="12"/>
              </w:rPr>
              <w:t>comercializado</w:t>
            </w:r>
          </w:p>
        </w:tc>
        <w:tc>
          <w:tcPr>
            <w:tcW w:w="1975"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Dividir o custo total pelo volume mensal comercializado (R$)</w:t>
            </w:r>
          </w:p>
        </w:tc>
        <w:tc>
          <w:tcPr>
            <w:tcW w:w="1226"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sidRPr="00B85804">
              <w:rPr>
                <w:rFonts w:ascii="Arial Narrow" w:hAnsi="Arial Narrow"/>
                <w:color w:val="000000"/>
                <w:sz w:val="15"/>
                <w:szCs w:val="15"/>
              </w:rPr>
              <w:t xml:space="preserve">Mensal, com fechamento </w:t>
            </w:r>
            <w:proofErr w:type="gramStart"/>
            <w:r w:rsidRPr="00B85804">
              <w:rPr>
                <w:rFonts w:ascii="Arial Narrow" w:hAnsi="Arial Narrow"/>
                <w:color w:val="000000"/>
                <w:sz w:val="15"/>
                <w:szCs w:val="15"/>
              </w:rPr>
              <w:t>anual</w:t>
            </w:r>
            <w:proofErr w:type="gramEnd"/>
          </w:p>
        </w:tc>
      </w:tr>
    </w:tbl>
    <w:p w:rsidR="007552E9" w:rsidRDefault="007552E9" w:rsidP="00EB4A8C">
      <w:pPr>
        <w:pStyle w:val="Ttulo9"/>
        <w:jc w:val="both"/>
        <w:rPr>
          <w:rFonts w:ascii="Arial Narrow" w:hAnsi="Arial Narrow"/>
          <w:sz w:val="20"/>
          <w:u w:val="none"/>
        </w:rPr>
      </w:pPr>
      <w:r w:rsidRPr="00AC20FF">
        <w:rPr>
          <w:rFonts w:ascii="Arial Narrow" w:hAnsi="Arial Narrow"/>
          <w:sz w:val="20"/>
          <w:u w:val="none"/>
        </w:rPr>
        <w:t xml:space="preserve">Esses indicadores são acompanhados mensalmente, com fechamento consolidado semestralmente até o ano de </w:t>
      </w:r>
      <w:smartTag w:uri="urn:schemas-microsoft-com:office:smarttags" w:element="metricconverter">
        <w:smartTagPr>
          <w:attr w:name="ProductID" w:val="2012. A"/>
        </w:smartTagPr>
        <w:r w:rsidRPr="00AC20FF">
          <w:rPr>
            <w:rFonts w:ascii="Arial Narrow" w:hAnsi="Arial Narrow"/>
            <w:sz w:val="20"/>
            <w:u w:val="none"/>
          </w:rPr>
          <w:t>2012. A</w:t>
        </w:r>
      </w:smartTag>
      <w:r w:rsidRPr="00AC20FF">
        <w:rPr>
          <w:rFonts w:ascii="Arial Narrow" w:hAnsi="Arial Narrow"/>
          <w:sz w:val="20"/>
          <w:u w:val="none"/>
        </w:rPr>
        <w:t xml:space="preserve"> partir de 2013 o fechamento consolidado vem ocorrendo trimestralmente.</w:t>
      </w:r>
    </w:p>
    <w:p w:rsidR="007552E9" w:rsidRPr="00244AA1" w:rsidRDefault="007552E9" w:rsidP="00244AA1"/>
    <w:p w:rsidR="007552E9" w:rsidRPr="00244AA1" w:rsidRDefault="007552E9" w:rsidP="00244AA1">
      <w:pPr>
        <w:spacing w:line="360" w:lineRule="auto"/>
        <w:jc w:val="both"/>
        <w:rPr>
          <w:rFonts w:ascii="Arial Narrow" w:hAnsi="Arial Narrow" w:cs="Arial"/>
          <w:sz w:val="20"/>
        </w:rPr>
      </w:pPr>
      <w:r w:rsidRPr="00244AA1">
        <w:rPr>
          <w:rFonts w:ascii="Arial Narrow" w:hAnsi="Arial Narrow" w:cs="Arial"/>
          <w:sz w:val="20"/>
        </w:rPr>
        <w:lastRenderedPageBreak/>
        <w:t>No Planejamento Estratégico 2012/2014 foi recomendada a substituição dos indicadores IET e ICVC por um único indicador que retrate melhor a relação entre a Receita gerada através da comercialização nos espaços disponibilizados para tal</w:t>
      </w:r>
      <w:r w:rsidR="00CD677E">
        <w:rPr>
          <w:rFonts w:ascii="Arial Narrow" w:hAnsi="Arial Narrow" w:cs="Arial"/>
          <w:sz w:val="20"/>
        </w:rPr>
        <w:t xml:space="preserve">. Assim, foi criado o </w:t>
      </w:r>
      <w:r w:rsidR="00CD677E" w:rsidRPr="00CD677E">
        <w:rPr>
          <w:rFonts w:ascii="Arial Narrow" w:hAnsi="Arial Narrow" w:cs="Arial"/>
          <w:b/>
          <w:sz w:val="20"/>
        </w:rPr>
        <w:t>IVO (Índice de Volume por Ocupação)</w:t>
      </w:r>
      <w:r w:rsidR="00CD677E" w:rsidRPr="00244AA1">
        <w:rPr>
          <w:rFonts w:ascii="Arial Narrow" w:hAnsi="Arial Narrow" w:cs="Arial"/>
          <w:sz w:val="20"/>
        </w:rPr>
        <w:t xml:space="preserve">, </w:t>
      </w:r>
      <w:r w:rsidR="00CD677E">
        <w:rPr>
          <w:rFonts w:ascii="Arial Narrow" w:hAnsi="Arial Narrow" w:cs="Arial"/>
          <w:sz w:val="20"/>
        </w:rPr>
        <w:t>calculado dividindo o volume comercializado na CEASA em toneladas pela área total ocupada em m².</w:t>
      </w:r>
      <w:r w:rsidRPr="00244AA1">
        <w:rPr>
          <w:rFonts w:ascii="Arial Narrow" w:hAnsi="Arial Narrow" w:cs="Arial"/>
          <w:sz w:val="20"/>
        </w:rPr>
        <w:t xml:space="preserve"> Após aprovação dos órgãos competentes para o contrato de gestão, foi adotado um novo indicador (IVO – Índice de Volume por Ocupação), sendo necessário assim redimensionar os pesos dos indicadores IET e ICVC, uma vez que os mesmos deverão continuar sendo apurados de acordo com entendimento comum.</w:t>
      </w:r>
    </w:p>
    <w:p w:rsidR="007552E9" w:rsidRDefault="007552E9" w:rsidP="00EB4A8C">
      <w:pPr>
        <w:pStyle w:val="Ttulo9"/>
        <w:jc w:val="both"/>
        <w:rPr>
          <w:rFonts w:ascii="Arial Narrow" w:hAnsi="Arial Narrow"/>
          <w:sz w:val="20"/>
          <w:u w:val="none"/>
        </w:rPr>
      </w:pPr>
    </w:p>
    <w:p w:rsidR="007552E9" w:rsidRDefault="007552E9" w:rsidP="00EB4A8C">
      <w:pPr>
        <w:pStyle w:val="Ttulo9"/>
        <w:jc w:val="both"/>
        <w:rPr>
          <w:rFonts w:ascii="Arial Narrow" w:hAnsi="Arial Narrow"/>
          <w:sz w:val="20"/>
          <w:u w:val="none"/>
        </w:rPr>
      </w:pPr>
      <w:r w:rsidRPr="00EB4A8C">
        <w:rPr>
          <w:rFonts w:ascii="Arial Narrow" w:hAnsi="Arial Narrow"/>
          <w:sz w:val="20"/>
          <w:u w:val="none"/>
        </w:rPr>
        <w:t xml:space="preserve">Além deles, outros 03 indicadores de tendência </w:t>
      </w:r>
      <w:r w:rsidRPr="00EB4A8C">
        <w:rPr>
          <w:rFonts w:ascii="Arial Narrow" w:hAnsi="Arial Narrow"/>
          <w:i/>
          <w:iCs/>
          <w:sz w:val="20"/>
          <w:u w:val="none"/>
        </w:rPr>
        <w:t>(</w:t>
      </w:r>
      <w:proofErr w:type="spellStart"/>
      <w:r w:rsidRPr="00EB4A8C">
        <w:rPr>
          <w:rFonts w:ascii="Arial Narrow" w:hAnsi="Arial Narrow"/>
          <w:i/>
          <w:iCs/>
          <w:sz w:val="20"/>
          <w:u w:val="none"/>
        </w:rPr>
        <w:t>leading</w:t>
      </w:r>
      <w:proofErr w:type="spellEnd"/>
      <w:r w:rsidRPr="00EB4A8C">
        <w:rPr>
          <w:rFonts w:ascii="Arial Narrow" w:hAnsi="Arial Narrow"/>
          <w:i/>
          <w:iCs/>
          <w:sz w:val="20"/>
          <w:u w:val="none"/>
        </w:rPr>
        <w:t xml:space="preserve"> </w:t>
      </w:r>
      <w:proofErr w:type="spellStart"/>
      <w:r w:rsidRPr="00EB4A8C">
        <w:rPr>
          <w:rFonts w:ascii="Arial Narrow" w:hAnsi="Arial Narrow"/>
          <w:i/>
          <w:iCs/>
          <w:sz w:val="20"/>
          <w:u w:val="none"/>
        </w:rPr>
        <w:t>indicators</w:t>
      </w:r>
      <w:proofErr w:type="spellEnd"/>
      <w:r w:rsidRPr="00EB4A8C">
        <w:rPr>
          <w:rFonts w:ascii="Arial Narrow" w:hAnsi="Arial Narrow"/>
          <w:sz w:val="20"/>
          <w:u w:val="none"/>
        </w:rPr>
        <w:t>) foram definidos como forma de avaliação, os quais estão expressos a seguir:</w:t>
      </w:r>
    </w:p>
    <w:p w:rsidR="007552E9" w:rsidRPr="004A573C" w:rsidRDefault="007552E9" w:rsidP="004A5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606"/>
        <w:gridCol w:w="1942"/>
        <w:gridCol w:w="1975"/>
        <w:gridCol w:w="1226"/>
      </w:tblGrid>
      <w:tr w:rsidR="007552E9" w:rsidRPr="00B85804">
        <w:tc>
          <w:tcPr>
            <w:tcW w:w="1397" w:type="dxa"/>
            <w:shd w:val="clear" w:color="auto" w:fill="D6E3BC"/>
            <w:vAlign w:val="center"/>
          </w:tcPr>
          <w:p w:rsidR="007552E9" w:rsidRPr="00837635" w:rsidRDefault="007552E9" w:rsidP="00BF13CF">
            <w:pPr>
              <w:spacing w:before="100" w:beforeAutospacing="1" w:after="100" w:afterAutospacing="1"/>
              <w:jc w:val="center"/>
              <w:rPr>
                <w:rFonts w:ascii="Arial Narrow" w:hAnsi="Arial Narrow"/>
                <w:b/>
                <w:color w:val="000000"/>
                <w:sz w:val="14"/>
                <w:szCs w:val="14"/>
              </w:rPr>
            </w:pPr>
            <w:r w:rsidRPr="00837635">
              <w:rPr>
                <w:rFonts w:ascii="Arial Narrow" w:hAnsi="Arial Narrow"/>
                <w:b/>
                <w:color w:val="000000"/>
                <w:sz w:val="14"/>
                <w:szCs w:val="14"/>
              </w:rPr>
              <w:t>INDICADOR</w:t>
            </w:r>
          </w:p>
        </w:tc>
        <w:tc>
          <w:tcPr>
            <w:tcW w:w="606" w:type="dxa"/>
            <w:shd w:val="clear" w:color="auto" w:fill="D6E3BC"/>
            <w:vAlign w:val="center"/>
          </w:tcPr>
          <w:p w:rsidR="007552E9" w:rsidRPr="00837635" w:rsidRDefault="007552E9" w:rsidP="00BF13CF">
            <w:pPr>
              <w:spacing w:before="100" w:beforeAutospacing="1" w:after="100" w:afterAutospacing="1"/>
              <w:jc w:val="center"/>
              <w:rPr>
                <w:rFonts w:ascii="Arial Narrow" w:hAnsi="Arial Narrow"/>
                <w:b/>
                <w:color w:val="000000"/>
                <w:sz w:val="14"/>
                <w:szCs w:val="14"/>
              </w:rPr>
            </w:pPr>
            <w:r w:rsidRPr="00837635">
              <w:rPr>
                <w:rFonts w:ascii="Arial Narrow" w:hAnsi="Arial Narrow"/>
                <w:b/>
                <w:color w:val="000000"/>
                <w:sz w:val="14"/>
                <w:szCs w:val="14"/>
              </w:rPr>
              <w:t>SIGLA</w:t>
            </w:r>
          </w:p>
        </w:tc>
        <w:tc>
          <w:tcPr>
            <w:tcW w:w="1942" w:type="dxa"/>
            <w:shd w:val="clear" w:color="auto" w:fill="D6E3BC"/>
            <w:vAlign w:val="center"/>
          </w:tcPr>
          <w:p w:rsidR="007552E9" w:rsidRPr="00837635" w:rsidRDefault="007552E9" w:rsidP="00BF13CF">
            <w:pPr>
              <w:spacing w:before="100" w:beforeAutospacing="1" w:after="100" w:afterAutospacing="1"/>
              <w:jc w:val="center"/>
              <w:rPr>
                <w:rFonts w:ascii="Arial Narrow" w:hAnsi="Arial Narrow"/>
                <w:b/>
                <w:color w:val="000000"/>
                <w:sz w:val="14"/>
                <w:szCs w:val="14"/>
              </w:rPr>
            </w:pPr>
            <w:r w:rsidRPr="00837635">
              <w:rPr>
                <w:rFonts w:ascii="Arial Narrow" w:hAnsi="Arial Narrow"/>
                <w:b/>
                <w:color w:val="000000"/>
                <w:sz w:val="14"/>
                <w:szCs w:val="14"/>
              </w:rPr>
              <w:t>DESCRIÇÃO / FINALIDADE</w:t>
            </w:r>
          </w:p>
        </w:tc>
        <w:tc>
          <w:tcPr>
            <w:tcW w:w="1975" w:type="dxa"/>
            <w:shd w:val="clear" w:color="auto" w:fill="D6E3BC"/>
            <w:vAlign w:val="center"/>
          </w:tcPr>
          <w:p w:rsidR="007552E9" w:rsidRPr="00B85804" w:rsidRDefault="007552E9" w:rsidP="00BF13CF">
            <w:pPr>
              <w:spacing w:before="100" w:beforeAutospacing="1" w:after="100" w:afterAutospacing="1"/>
              <w:jc w:val="center"/>
              <w:rPr>
                <w:rFonts w:ascii="Arial Narrow" w:hAnsi="Arial Narrow"/>
                <w:b/>
                <w:color w:val="000000"/>
                <w:sz w:val="15"/>
                <w:szCs w:val="15"/>
              </w:rPr>
            </w:pPr>
            <w:r w:rsidRPr="00B85804">
              <w:rPr>
                <w:rFonts w:ascii="Arial Narrow" w:hAnsi="Arial Narrow"/>
                <w:b/>
                <w:color w:val="000000"/>
                <w:sz w:val="15"/>
                <w:szCs w:val="15"/>
              </w:rPr>
              <w:t>FORMA DE CÁLCULO</w:t>
            </w:r>
          </w:p>
        </w:tc>
        <w:tc>
          <w:tcPr>
            <w:tcW w:w="1226" w:type="dxa"/>
            <w:shd w:val="clear" w:color="auto" w:fill="D6E3BC"/>
            <w:vAlign w:val="center"/>
          </w:tcPr>
          <w:p w:rsidR="007552E9" w:rsidRPr="00B85804" w:rsidRDefault="007552E9" w:rsidP="00BF13CF">
            <w:pPr>
              <w:spacing w:before="100" w:beforeAutospacing="1" w:after="100" w:afterAutospacing="1"/>
              <w:jc w:val="center"/>
              <w:rPr>
                <w:rFonts w:ascii="Arial Narrow" w:hAnsi="Arial Narrow"/>
                <w:b/>
                <w:color w:val="000000"/>
                <w:sz w:val="15"/>
                <w:szCs w:val="15"/>
              </w:rPr>
            </w:pPr>
            <w:r w:rsidRPr="00B85804">
              <w:rPr>
                <w:rFonts w:ascii="Arial Narrow" w:hAnsi="Arial Narrow"/>
                <w:b/>
                <w:color w:val="000000"/>
                <w:sz w:val="15"/>
                <w:szCs w:val="15"/>
              </w:rPr>
              <w:t>PERIODICIDADE DE APURAÇÃO</w:t>
            </w:r>
          </w:p>
        </w:tc>
      </w:tr>
      <w:tr w:rsidR="007552E9" w:rsidRPr="00B85804">
        <w:tc>
          <w:tcPr>
            <w:tcW w:w="1397"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Insatisfação do cliente externo</w:t>
            </w:r>
          </w:p>
        </w:tc>
        <w:tc>
          <w:tcPr>
            <w:tcW w:w="606"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IICE</w:t>
            </w:r>
          </w:p>
        </w:tc>
        <w:tc>
          <w:tcPr>
            <w:tcW w:w="1942"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 xml:space="preserve">Avaliar o grau de insatisfação do público beneficiado pelas ações da </w:t>
            </w:r>
            <w:proofErr w:type="spellStart"/>
            <w:r>
              <w:rPr>
                <w:rFonts w:ascii="Arial Narrow" w:hAnsi="Arial Narrow"/>
                <w:color w:val="000000"/>
                <w:sz w:val="14"/>
                <w:szCs w:val="14"/>
              </w:rPr>
              <w:t>O.S.</w:t>
            </w:r>
            <w:proofErr w:type="spellEnd"/>
            <w:r>
              <w:rPr>
                <w:rFonts w:ascii="Arial Narrow" w:hAnsi="Arial Narrow"/>
                <w:color w:val="000000"/>
                <w:sz w:val="14"/>
                <w:szCs w:val="14"/>
              </w:rPr>
              <w:t xml:space="preserve"> em relação aos aspectos operacionais estruturais e de gestão</w:t>
            </w:r>
          </w:p>
        </w:tc>
        <w:tc>
          <w:tcPr>
            <w:tcW w:w="1975"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Pr>
                <w:rFonts w:ascii="Arial Narrow" w:hAnsi="Arial Narrow"/>
                <w:color w:val="000000"/>
                <w:sz w:val="15"/>
                <w:szCs w:val="15"/>
              </w:rPr>
              <w:t>Pontuação oriunda da pesquisa de satisfação</w:t>
            </w:r>
          </w:p>
        </w:tc>
        <w:tc>
          <w:tcPr>
            <w:tcW w:w="1226" w:type="dxa"/>
            <w:vAlign w:val="center"/>
          </w:tcPr>
          <w:p w:rsidR="007552E9" w:rsidRPr="00B85804" w:rsidRDefault="007552E9" w:rsidP="00902123">
            <w:pPr>
              <w:spacing w:before="100" w:beforeAutospacing="1" w:after="100" w:afterAutospacing="1"/>
              <w:jc w:val="center"/>
              <w:rPr>
                <w:rFonts w:ascii="Arial Narrow" w:hAnsi="Arial Narrow"/>
                <w:color w:val="000000"/>
                <w:sz w:val="15"/>
                <w:szCs w:val="15"/>
              </w:rPr>
            </w:pPr>
            <w:r>
              <w:rPr>
                <w:rFonts w:ascii="Arial Narrow" w:hAnsi="Arial Narrow"/>
                <w:color w:val="000000"/>
                <w:sz w:val="15"/>
                <w:szCs w:val="15"/>
              </w:rPr>
              <w:t>Anual</w:t>
            </w:r>
          </w:p>
        </w:tc>
      </w:tr>
      <w:tr w:rsidR="007552E9" w:rsidRPr="00B85804">
        <w:tc>
          <w:tcPr>
            <w:tcW w:w="1397" w:type="dxa"/>
            <w:shd w:val="clear" w:color="auto" w:fill="DDD9C3"/>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Satisfação do cliente interno</w:t>
            </w:r>
          </w:p>
        </w:tc>
        <w:tc>
          <w:tcPr>
            <w:tcW w:w="606" w:type="dxa"/>
            <w:shd w:val="clear" w:color="auto" w:fill="DDD9C3"/>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ISCI</w:t>
            </w:r>
          </w:p>
        </w:tc>
        <w:tc>
          <w:tcPr>
            <w:tcW w:w="1942" w:type="dxa"/>
            <w:shd w:val="clear" w:color="auto" w:fill="DDD9C3"/>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 xml:space="preserve">Avaliar a satisfação dos funcionários e terceirizados em relação a aspectos operacionais, estruturais e de </w:t>
            </w:r>
            <w:proofErr w:type="gramStart"/>
            <w:r>
              <w:rPr>
                <w:rFonts w:ascii="Arial Narrow" w:hAnsi="Arial Narrow"/>
                <w:color w:val="000000"/>
                <w:sz w:val="14"/>
                <w:szCs w:val="14"/>
              </w:rPr>
              <w:t>gestão</w:t>
            </w:r>
            <w:proofErr w:type="gramEnd"/>
          </w:p>
        </w:tc>
        <w:tc>
          <w:tcPr>
            <w:tcW w:w="1975" w:type="dxa"/>
            <w:shd w:val="clear" w:color="auto" w:fill="DDD9C3"/>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Pr>
                <w:rFonts w:ascii="Arial Narrow" w:hAnsi="Arial Narrow"/>
                <w:color w:val="000000"/>
                <w:sz w:val="15"/>
                <w:szCs w:val="15"/>
              </w:rPr>
              <w:t>Pontuação oriunda da pesquisa de satisfação</w:t>
            </w:r>
          </w:p>
        </w:tc>
        <w:tc>
          <w:tcPr>
            <w:tcW w:w="1226" w:type="dxa"/>
            <w:shd w:val="clear" w:color="auto" w:fill="DDD9C3"/>
            <w:vAlign w:val="center"/>
          </w:tcPr>
          <w:p w:rsidR="007552E9" w:rsidRPr="00B85804" w:rsidRDefault="007552E9" w:rsidP="00902123">
            <w:pPr>
              <w:spacing w:before="100" w:beforeAutospacing="1" w:after="100" w:afterAutospacing="1"/>
              <w:jc w:val="center"/>
              <w:rPr>
                <w:rFonts w:ascii="Arial Narrow" w:hAnsi="Arial Narrow"/>
                <w:color w:val="000000"/>
                <w:sz w:val="15"/>
                <w:szCs w:val="15"/>
              </w:rPr>
            </w:pPr>
            <w:r>
              <w:rPr>
                <w:rFonts w:ascii="Arial Narrow" w:hAnsi="Arial Narrow"/>
                <w:color w:val="000000"/>
                <w:sz w:val="15"/>
                <w:szCs w:val="15"/>
              </w:rPr>
              <w:t>Anual</w:t>
            </w:r>
          </w:p>
        </w:tc>
      </w:tr>
      <w:tr w:rsidR="007552E9" w:rsidRPr="00B85804">
        <w:tc>
          <w:tcPr>
            <w:tcW w:w="1397"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Imagem da organização perante a sociedade</w:t>
            </w:r>
          </w:p>
        </w:tc>
        <w:tc>
          <w:tcPr>
            <w:tcW w:w="606"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IIOS</w:t>
            </w:r>
          </w:p>
        </w:tc>
        <w:tc>
          <w:tcPr>
            <w:tcW w:w="1942" w:type="dxa"/>
            <w:vAlign w:val="center"/>
          </w:tcPr>
          <w:p w:rsidR="007552E9" w:rsidRPr="00837635" w:rsidRDefault="007552E9" w:rsidP="00BF13CF">
            <w:pPr>
              <w:spacing w:before="100" w:beforeAutospacing="1" w:after="100" w:afterAutospacing="1"/>
              <w:jc w:val="both"/>
              <w:rPr>
                <w:rFonts w:ascii="Arial Narrow" w:hAnsi="Arial Narrow"/>
                <w:color w:val="000000"/>
                <w:sz w:val="14"/>
                <w:szCs w:val="14"/>
              </w:rPr>
            </w:pPr>
            <w:r>
              <w:rPr>
                <w:rFonts w:ascii="Arial Narrow" w:hAnsi="Arial Narrow"/>
                <w:color w:val="000000"/>
                <w:sz w:val="14"/>
                <w:szCs w:val="14"/>
              </w:rPr>
              <w:t>Monitorar a aceitação e imagem da organização pela sociedade local</w:t>
            </w:r>
          </w:p>
        </w:tc>
        <w:tc>
          <w:tcPr>
            <w:tcW w:w="1975" w:type="dxa"/>
            <w:vAlign w:val="center"/>
          </w:tcPr>
          <w:p w:rsidR="007552E9" w:rsidRPr="00B85804" w:rsidRDefault="007552E9" w:rsidP="00BF13CF">
            <w:pPr>
              <w:spacing w:before="100" w:beforeAutospacing="1" w:after="100" w:afterAutospacing="1"/>
              <w:jc w:val="both"/>
              <w:rPr>
                <w:rFonts w:ascii="Arial Narrow" w:hAnsi="Arial Narrow"/>
                <w:color w:val="000000"/>
                <w:sz w:val="15"/>
                <w:szCs w:val="15"/>
              </w:rPr>
            </w:pPr>
            <w:r>
              <w:rPr>
                <w:rFonts w:ascii="Arial Narrow" w:hAnsi="Arial Narrow"/>
                <w:color w:val="000000"/>
                <w:sz w:val="15"/>
                <w:szCs w:val="15"/>
              </w:rPr>
              <w:t>Dividir o total de notícias favoráveis na mídia impressa pelo total de notícias na mídia impressa</w:t>
            </w:r>
          </w:p>
        </w:tc>
        <w:tc>
          <w:tcPr>
            <w:tcW w:w="1226" w:type="dxa"/>
            <w:vAlign w:val="center"/>
          </w:tcPr>
          <w:p w:rsidR="007552E9" w:rsidRPr="00B85804" w:rsidRDefault="007552E9" w:rsidP="00902123">
            <w:pPr>
              <w:spacing w:before="100" w:beforeAutospacing="1" w:after="100" w:afterAutospacing="1"/>
              <w:jc w:val="center"/>
              <w:rPr>
                <w:rFonts w:ascii="Arial Narrow" w:hAnsi="Arial Narrow"/>
                <w:color w:val="000000"/>
                <w:sz w:val="15"/>
                <w:szCs w:val="15"/>
              </w:rPr>
            </w:pPr>
            <w:r>
              <w:rPr>
                <w:rFonts w:ascii="Arial Narrow" w:hAnsi="Arial Narrow"/>
                <w:color w:val="000000"/>
                <w:sz w:val="15"/>
                <w:szCs w:val="15"/>
              </w:rPr>
              <w:t>Anual</w:t>
            </w:r>
          </w:p>
        </w:tc>
      </w:tr>
    </w:tbl>
    <w:p w:rsidR="007552E9" w:rsidRDefault="007552E9" w:rsidP="0096311C">
      <w:pPr>
        <w:pStyle w:val="Ttulo9"/>
        <w:jc w:val="both"/>
        <w:rPr>
          <w:rFonts w:ascii="Arial Narrow" w:hAnsi="Arial Narrow"/>
          <w:sz w:val="20"/>
          <w:u w:val="none"/>
        </w:rPr>
      </w:pPr>
    </w:p>
    <w:p w:rsidR="007552E9" w:rsidRPr="0096311C" w:rsidRDefault="007552E9" w:rsidP="0096311C">
      <w:pPr>
        <w:pStyle w:val="Ttulo9"/>
        <w:jc w:val="both"/>
        <w:rPr>
          <w:rFonts w:ascii="Arial Narrow" w:hAnsi="Arial Narrow"/>
          <w:sz w:val="20"/>
          <w:u w:val="none"/>
        </w:rPr>
      </w:pPr>
      <w:r w:rsidRPr="0096311C">
        <w:rPr>
          <w:rFonts w:ascii="Arial Narrow" w:hAnsi="Arial Narrow"/>
          <w:sz w:val="20"/>
          <w:u w:val="none"/>
        </w:rPr>
        <w:t xml:space="preserve">A verificação desses indicadores </w:t>
      </w:r>
      <w:r>
        <w:rPr>
          <w:rFonts w:ascii="Arial Narrow" w:hAnsi="Arial Narrow"/>
          <w:sz w:val="20"/>
          <w:u w:val="none"/>
        </w:rPr>
        <w:t>t</w:t>
      </w:r>
      <w:r w:rsidRPr="0096311C">
        <w:rPr>
          <w:rFonts w:ascii="Arial Narrow" w:hAnsi="Arial Narrow"/>
          <w:sz w:val="20"/>
          <w:u w:val="none"/>
        </w:rPr>
        <w:t>e</w:t>
      </w:r>
      <w:r>
        <w:rPr>
          <w:rFonts w:ascii="Arial Narrow" w:hAnsi="Arial Narrow"/>
          <w:sz w:val="20"/>
          <w:u w:val="none"/>
        </w:rPr>
        <w:t>m o</w:t>
      </w:r>
      <w:proofErr w:type="gramStart"/>
      <w:r>
        <w:rPr>
          <w:rFonts w:ascii="Arial Narrow" w:hAnsi="Arial Narrow"/>
          <w:sz w:val="20"/>
          <w:u w:val="none"/>
        </w:rPr>
        <w:t xml:space="preserve">  </w:t>
      </w:r>
      <w:proofErr w:type="gramEnd"/>
      <w:r>
        <w:rPr>
          <w:rFonts w:ascii="Arial Narrow" w:hAnsi="Arial Narrow"/>
          <w:sz w:val="20"/>
          <w:u w:val="none"/>
        </w:rPr>
        <w:t xml:space="preserve">objetivo de </w:t>
      </w:r>
      <w:r w:rsidRPr="0096311C">
        <w:rPr>
          <w:rFonts w:ascii="Arial Narrow" w:hAnsi="Arial Narrow"/>
          <w:sz w:val="20"/>
          <w:u w:val="none"/>
        </w:rPr>
        <w:t xml:space="preserve"> monitorar a percepção externa a</w:t>
      </w:r>
      <w:r>
        <w:rPr>
          <w:rFonts w:ascii="Arial Narrow" w:hAnsi="Arial Narrow"/>
          <w:sz w:val="20"/>
          <w:u w:val="none"/>
        </w:rPr>
        <w:t xml:space="preserve"> respeito das ações tomadas pelo</w:t>
      </w:r>
      <w:r w:rsidRPr="0096311C">
        <w:rPr>
          <w:rFonts w:ascii="Arial Narrow" w:hAnsi="Arial Narrow"/>
          <w:sz w:val="20"/>
          <w:u w:val="none"/>
        </w:rPr>
        <w:t xml:space="preserve"> CEASA-PE/ </w:t>
      </w:r>
      <w:proofErr w:type="spellStart"/>
      <w:r w:rsidRPr="0096311C">
        <w:rPr>
          <w:rFonts w:ascii="Arial Narrow" w:hAnsi="Arial Narrow"/>
          <w:sz w:val="20"/>
          <w:u w:val="none"/>
        </w:rPr>
        <w:t>O.S.</w:t>
      </w:r>
      <w:proofErr w:type="spellEnd"/>
      <w:r w:rsidRPr="0096311C">
        <w:rPr>
          <w:rFonts w:ascii="Arial Narrow" w:hAnsi="Arial Narrow"/>
          <w:sz w:val="20"/>
          <w:u w:val="none"/>
        </w:rPr>
        <w:t xml:space="preserve"> </w:t>
      </w:r>
    </w:p>
    <w:p w:rsidR="007552E9" w:rsidRDefault="007552E9" w:rsidP="00EB4A8C">
      <w:pPr>
        <w:rPr>
          <w:rFonts w:ascii="Arial Narrow" w:hAnsi="Arial Narrow"/>
          <w:b/>
          <w:sz w:val="20"/>
        </w:rPr>
      </w:pPr>
    </w:p>
    <w:p w:rsidR="007552E9" w:rsidRDefault="007552E9" w:rsidP="00EB4A8C">
      <w:pPr>
        <w:rPr>
          <w:rFonts w:ascii="Arial Narrow" w:hAnsi="Arial Narrow"/>
          <w:b/>
          <w:sz w:val="20"/>
        </w:rPr>
      </w:pPr>
    </w:p>
    <w:p w:rsidR="007552E9" w:rsidRDefault="007552E9" w:rsidP="00EB4A8C">
      <w:pPr>
        <w:rPr>
          <w:rFonts w:ascii="Arial Narrow" w:hAnsi="Arial Narrow"/>
          <w:b/>
          <w:sz w:val="20"/>
        </w:rPr>
      </w:pPr>
    </w:p>
    <w:p w:rsidR="007552E9" w:rsidRDefault="007552E9" w:rsidP="00EB4A8C">
      <w:pPr>
        <w:rPr>
          <w:rFonts w:ascii="Arial Narrow" w:hAnsi="Arial Narrow"/>
          <w:b/>
          <w:sz w:val="20"/>
        </w:rPr>
      </w:pPr>
    </w:p>
    <w:p w:rsidR="007552E9" w:rsidRDefault="007552E9" w:rsidP="00EB4A8C">
      <w:pPr>
        <w:rPr>
          <w:rFonts w:ascii="Arial Narrow" w:hAnsi="Arial Narrow"/>
          <w:b/>
          <w:sz w:val="20"/>
        </w:rPr>
      </w:pPr>
    </w:p>
    <w:p w:rsidR="007552E9" w:rsidRDefault="007552E9" w:rsidP="00EB4A8C">
      <w:pPr>
        <w:rPr>
          <w:rFonts w:ascii="Arial Narrow" w:hAnsi="Arial Narrow"/>
          <w:b/>
          <w:sz w:val="20"/>
        </w:rPr>
      </w:pPr>
    </w:p>
    <w:p w:rsidR="007552E9" w:rsidRDefault="007552E9">
      <w:pPr>
        <w:rPr>
          <w:rFonts w:ascii="Arial Narrow" w:hAnsi="Arial Narrow"/>
          <w:b/>
          <w:sz w:val="20"/>
        </w:rPr>
      </w:pPr>
      <w:r>
        <w:rPr>
          <w:rFonts w:ascii="Arial Narrow" w:hAnsi="Arial Narrow"/>
          <w:b/>
          <w:sz w:val="20"/>
        </w:rPr>
        <w:br w:type="page"/>
      </w:r>
    </w:p>
    <w:p w:rsidR="007552E9" w:rsidRPr="0096311C" w:rsidRDefault="007552E9" w:rsidP="00EB4A8C">
      <w:pPr>
        <w:rPr>
          <w:rFonts w:ascii="Arial Narrow" w:hAnsi="Arial Narrow"/>
          <w:b/>
          <w:sz w:val="20"/>
        </w:rPr>
      </w:pPr>
      <w:r>
        <w:rPr>
          <w:rFonts w:ascii="Arial Narrow" w:hAnsi="Arial Narrow"/>
          <w:b/>
          <w:sz w:val="20"/>
        </w:rPr>
        <w:lastRenderedPageBreak/>
        <w:t xml:space="preserve">a) </w:t>
      </w:r>
      <w:r w:rsidRPr="0096311C">
        <w:rPr>
          <w:rFonts w:ascii="Arial Narrow" w:hAnsi="Arial Narrow"/>
          <w:b/>
          <w:sz w:val="20"/>
        </w:rPr>
        <w:t>INDICADORES DE POSIÇÃO</w:t>
      </w:r>
      <w:r>
        <w:rPr>
          <w:rFonts w:ascii="Arial Narrow" w:hAnsi="Arial Narrow"/>
          <w:b/>
          <w:sz w:val="20"/>
        </w:rPr>
        <w:t xml:space="preserve"> – </w:t>
      </w:r>
      <w:smartTag w:uri="urn:schemas-microsoft-com:office:smarttags" w:element="metricconverter">
        <w:smartTagPr>
          <w:attr w:name="ProductID" w:val="2004 a"/>
        </w:smartTagPr>
        <w:r>
          <w:rPr>
            <w:rFonts w:ascii="Arial Narrow" w:hAnsi="Arial Narrow"/>
            <w:b/>
            <w:sz w:val="20"/>
          </w:rPr>
          <w:t>2004 a</w:t>
        </w:r>
      </w:smartTag>
      <w:r w:rsidR="00B37DF1">
        <w:rPr>
          <w:rFonts w:ascii="Arial Narrow" w:hAnsi="Arial Narrow"/>
          <w:b/>
          <w:sz w:val="20"/>
        </w:rPr>
        <w:t xml:space="preserve"> 2014</w:t>
      </w:r>
    </w:p>
    <w:p w:rsidR="007552E9" w:rsidRPr="00726179" w:rsidRDefault="007552E9" w:rsidP="00EB4A8C">
      <w:pPr>
        <w:rPr>
          <w:sz w:val="20"/>
        </w:rPr>
      </w:pPr>
    </w:p>
    <w:p w:rsidR="007552E9" w:rsidRDefault="00227E77" w:rsidP="0096311C">
      <w:pPr>
        <w:spacing w:line="360" w:lineRule="auto"/>
        <w:jc w:val="both"/>
        <w:rPr>
          <w:rFonts w:ascii="Arial Narrow" w:hAnsi="Arial Narrow"/>
          <w:b/>
          <w:bCs/>
          <w:iCs/>
          <w:sz w:val="20"/>
        </w:rPr>
      </w:pPr>
      <w:r>
        <w:rPr>
          <w:rFonts w:ascii="Arial Narrow" w:hAnsi="Arial Narrow"/>
          <w:b/>
          <w:bCs/>
          <w:iCs/>
          <w:noProof/>
          <w:sz w:val="20"/>
        </w:rPr>
        <w:drawing>
          <wp:inline distT="0" distB="0" distL="0" distR="0">
            <wp:extent cx="4400550" cy="3619500"/>
            <wp:effectExtent l="1905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4400550" cy="3619500"/>
                    </a:xfrm>
                    <a:prstGeom prst="rect">
                      <a:avLst/>
                    </a:prstGeom>
                    <a:noFill/>
                    <a:ln w="9525">
                      <a:noFill/>
                      <a:miter lim="800000"/>
                      <a:headEnd/>
                      <a:tailEnd/>
                    </a:ln>
                  </pic:spPr>
                </pic:pic>
              </a:graphicData>
            </a:graphic>
          </wp:inline>
        </w:drawing>
      </w:r>
    </w:p>
    <w:p w:rsidR="007552E9" w:rsidRDefault="007552E9" w:rsidP="0096311C">
      <w:pPr>
        <w:spacing w:line="360" w:lineRule="auto"/>
        <w:jc w:val="both"/>
        <w:rPr>
          <w:rFonts w:ascii="Arial Narrow" w:hAnsi="Arial Narrow"/>
          <w:b/>
          <w:bCs/>
          <w:iCs/>
          <w:sz w:val="20"/>
        </w:rPr>
      </w:pPr>
      <w:r>
        <w:rPr>
          <w:rFonts w:ascii="Arial Narrow" w:hAnsi="Arial Narrow"/>
          <w:b/>
          <w:bCs/>
          <w:iCs/>
          <w:sz w:val="20"/>
        </w:rPr>
        <w:t>b) INDICADORES DE TENDÊNCIAS</w:t>
      </w:r>
    </w:p>
    <w:p w:rsidR="007552E9" w:rsidRPr="005D6E20" w:rsidRDefault="00B37DF1" w:rsidP="00523B4D">
      <w:pPr>
        <w:spacing w:line="360" w:lineRule="auto"/>
        <w:jc w:val="center"/>
        <w:rPr>
          <w:rFonts w:ascii="Arial Narrow" w:hAnsi="Arial Narrow"/>
          <w:b/>
          <w:bCs/>
          <w:iCs/>
          <w:sz w:val="20"/>
        </w:rPr>
      </w:pPr>
      <w:r w:rsidRPr="00B37DF1">
        <w:rPr>
          <w:noProof/>
        </w:rPr>
        <w:drawing>
          <wp:inline distT="0" distB="0" distL="0" distR="0">
            <wp:extent cx="4400550" cy="2087001"/>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2087001"/>
                    </a:xfrm>
                    <a:prstGeom prst="rect">
                      <a:avLst/>
                    </a:prstGeom>
                    <a:noFill/>
                    <a:ln>
                      <a:noFill/>
                    </a:ln>
                  </pic:spPr>
                </pic:pic>
              </a:graphicData>
            </a:graphic>
          </wp:inline>
        </w:drawing>
      </w:r>
    </w:p>
    <w:p w:rsidR="007552E9" w:rsidRDefault="007552E9" w:rsidP="00523B4D">
      <w:pPr>
        <w:spacing w:line="360" w:lineRule="auto"/>
        <w:jc w:val="both"/>
        <w:rPr>
          <w:rFonts w:ascii="Arial Narrow" w:hAnsi="Arial Narrow"/>
          <w:b/>
          <w:bCs/>
          <w:iCs/>
          <w:sz w:val="20"/>
        </w:rPr>
      </w:pPr>
      <w:r>
        <w:rPr>
          <w:rFonts w:ascii="Arial Narrow" w:hAnsi="Arial Narrow"/>
          <w:b/>
          <w:bCs/>
          <w:iCs/>
          <w:sz w:val="20"/>
        </w:rPr>
        <w:tab/>
      </w:r>
      <w:r>
        <w:rPr>
          <w:rFonts w:ascii="Arial Narrow" w:hAnsi="Arial Narrow"/>
          <w:b/>
          <w:bCs/>
          <w:iCs/>
          <w:sz w:val="20"/>
        </w:rPr>
        <w:tab/>
      </w:r>
    </w:p>
    <w:p w:rsidR="007552E9" w:rsidRDefault="007552E9" w:rsidP="00523B4D">
      <w:pPr>
        <w:spacing w:line="360" w:lineRule="auto"/>
        <w:jc w:val="both"/>
        <w:rPr>
          <w:rFonts w:ascii="Arial Narrow" w:hAnsi="Arial Narrow"/>
          <w:b/>
          <w:bCs/>
          <w:iCs/>
          <w:sz w:val="20"/>
        </w:rPr>
      </w:pPr>
    </w:p>
    <w:p w:rsidR="007552E9" w:rsidRDefault="007552E9" w:rsidP="00523B4D">
      <w:pPr>
        <w:spacing w:line="360" w:lineRule="auto"/>
        <w:jc w:val="both"/>
        <w:rPr>
          <w:rFonts w:ascii="Arial Narrow" w:hAnsi="Arial Narrow"/>
          <w:b/>
          <w:bCs/>
          <w:iCs/>
          <w:sz w:val="20"/>
        </w:rPr>
      </w:pPr>
    </w:p>
    <w:p w:rsidR="007552E9" w:rsidRPr="0096311C" w:rsidRDefault="007552E9" w:rsidP="00523B4D">
      <w:pPr>
        <w:spacing w:line="360" w:lineRule="auto"/>
        <w:jc w:val="center"/>
        <w:rPr>
          <w:rFonts w:ascii="Arial Narrow" w:hAnsi="Arial Narrow"/>
          <w:b/>
          <w:bCs/>
          <w:iCs/>
          <w:sz w:val="20"/>
        </w:rPr>
      </w:pPr>
      <w:r w:rsidRPr="0096311C">
        <w:rPr>
          <w:rFonts w:ascii="Arial Narrow" w:hAnsi="Arial Narrow"/>
          <w:b/>
          <w:bCs/>
          <w:iCs/>
          <w:sz w:val="20"/>
        </w:rPr>
        <w:t>Comparativo dos Indicadores de Posição</w:t>
      </w:r>
    </w:p>
    <w:tbl>
      <w:tblPr>
        <w:tblW w:w="7400" w:type="dxa"/>
        <w:tblInd w:w="65" w:type="dxa"/>
        <w:tblCellMar>
          <w:left w:w="70" w:type="dxa"/>
          <w:right w:w="70" w:type="dxa"/>
        </w:tblCellMar>
        <w:tblLook w:val="04A0"/>
      </w:tblPr>
      <w:tblGrid>
        <w:gridCol w:w="567"/>
        <w:gridCol w:w="574"/>
        <w:gridCol w:w="580"/>
        <w:gridCol w:w="574"/>
        <w:gridCol w:w="580"/>
        <w:gridCol w:w="580"/>
        <w:gridCol w:w="580"/>
        <w:gridCol w:w="574"/>
        <w:gridCol w:w="580"/>
        <w:gridCol w:w="574"/>
        <w:gridCol w:w="580"/>
        <w:gridCol w:w="580"/>
        <w:gridCol w:w="580"/>
      </w:tblGrid>
      <w:tr w:rsidR="00B37DF1" w:rsidRPr="00B37DF1" w:rsidTr="00B37DF1">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ANO</w:t>
            </w:r>
          </w:p>
        </w:tc>
        <w:tc>
          <w:tcPr>
            <w:tcW w:w="56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2004</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2005</w:t>
            </w:r>
          </w:p>
        </w:tc>
        <w:tc>
          <w:tcPr>
            <w:tcW w:w="56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2006</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2007</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2008</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2009</w:t>
            </w:r>
          </w:p>
        </w:tc>
        <w:tc>
          <w:tcPr>
            <w:tcW w:w="56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2010</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2011</w:t>
            </w:r>
          </w:p>
        </w:tc>
        <w:tc>
          <w:tcPr>
            <w:tcW w:w="56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2012</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2013</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2014</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37DF1" w:rsidRPr="00B37DF1" w:rsidRDefault="00B37DF1" w:rsidP="00B37DF1">
            <w:pPr>
              <w:jc w:val="center"/>
              <w:rPr>
                <w:rFonts w:cs="Arial"/>
                <w:b/>
                <w:bCs/>
                <w:color w:val="000000"/>
                <w:sz w:val="12"/>
                <w:szCs w:val="12"/>
              </w:rPr>
            </w:pPr>
            <w:r w:rsidRPr="00B37DF1">
              <w:rPr>
                <w:rFonts w:cs="Arial"/>
                <w:b/>
                <w:bCs/>
                <w:color w:val="000000"/>
                <w:sz w:val="12"/>
                <w:szCs w:val="12"/>
              </w:rPr>
              <w:t>MÉDIA</w:t>
            </w:r>
          </w:p>
        </w:tc>
      </w:tr>
      <w:tr w:rsidR="00B37DF1" w:rsidRPr="00B37DF1" w:rsidTr="00B37DF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SCORE</w:t>
            </w:r>
          </w:p>
        </w:tc>
        <w:tc>
          <w:tcPr>
            <w:tcW w:w="56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96,7760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96,8520</w:t>
            </w:r>
          </w:p>
        </w:tc>
        <w:tc>
          <w:tcPr>
            <w:tcW w:w="56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81,9240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96,8200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92,6850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94,2490</w:t>
            </w:r>
          </w:p>
        </w:tc>
        <w:tc>
          <w:tcPr>
            <w:tcW w:w="56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92,7520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93,2730</w:t>
            </w:r>
          </w:p>
        </w:tc>
        <w:tc>
          <w:tcPr>
            <w:tcW w:w="56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82,1900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99,9760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99,9730</w:t>
            </w:r>
          </w:p>
        </w:tc>
        <w:tc>
          <w:tcPr>
            <w:tcW w:w="580" w:type="dxa"/>
            <w:tcBorders>
              <w:top w:val="nil"/>
              <w:left w:val="nil"/>
              <w:bottom w:val="single" w:sz="4" w:space="0" w:color="auto"/>
              <w:right w:val="single" w:sz="4" w:space="0" w:color="auto"/>
            </w:tcBorders>
            <w:shd w:val="clear" w:color="auto" w:fill="auto"/>
            <w:noWrap/>
            <w:vAlign w:val="bottom"/>
            <w:hideMark/>
          </w:tcPr>
          <w:p w:rsidR="00B37DF1" w:rsidRPr="00B37DF1" w:rsidRDefault="00B37DF1" w:rsidP="00B37DF1">
            <w:pPr>
              <w:jc w:val="center"/>
              <w:rPr>
                <w:rFonts w:cs="Arial"/>
                <w:color w:val="000000"/>
                <w:sz w:val="12"/>
                <w:szCs w:val="12"/>
              </w:rPr>
            </w:pPr>
            <w:r w:rsidRPr="00B37DF1">
              <w:rPr>
                <w:rFonts w:cs="Arial"/>
                <w:color w:val="000000"/>
                <w:sz w:val="12"/>
                <w:szCs w:val="12"/>
              </w:rPr>
              <w:t>93,4064</w:t>
            </w:r>
          </w:p>
        </w:tc>
      </w:tr>
    </w:tbl>
    <w:p w:rsidR="007552E9" w:rsidRDefault="007552E9" w:rsidP="0096311C">
      <w:pPr>
        <w:jc w:val="center"/>
      </w:pPr>
    </w:p>
    <w:p w:rsidR="007552E9" w:rsidRDefault="007552E9" w:rsidP="00FF06DD">
      <w:pPr>
        <w:spacing w:line="280" w:lineRule="exact"/>
        <w:jc w:val="both"/>
        <w:rPr>
          <w:rFonts w:ascii="Arial Narrow" w:hAnsi="Arial Narrow"/>
          <w:b/>
          <w:sz w:val="16"/>
          <w:szCs w:val="16"/>
        </w:rPr>
      </w:pPr>
      <w:r w:rsidRPr="00FF06DD">
        <w:rPr>
          <w:rFonts w:ascii="Arial Narrow" w:hAnsi="Arial Narrow"/>
          <w:b/>
          <w:sz w:val="16"/>
          <w:szCs w:val="16"/>
        </w:rPr>
        <w:t xml:space="preserve">Nota: A </w:t>
      </w:r>
      <w:r>
        <w:rPr>
          <w:rFonts w:ascii="Arial Narrow" w:hAnsi="Arial Narrow"/>
          <w:b/>
          <w:sz w:val="16"/>
          <w:szCs w:val="16"/>
        </w:rPr>
        <w:t>meta prevista anual 2004/2013</w:t>
      </w:r>
      <w:r w:rsidRPr="00FF06DD">
        <w:rPr>
          <w:rFonts w:ascii="Arial Narrow" w:hAnsi="Arial Narrow"/>
          <w:b/>
          <w:sz w:val="16"/>
          <w:szCs w:val="16"/>
        </w:rPr>
        <w:t xml:space="preserve"> é de 80%. Dessa forma, em todos os exercícios </w:t>
      </w:r>
      <w:r>
        <w:rPr>
          <w:rFonts w:ascii="Arial Narrow" w:hAnsi="Arial Narrow"/>
          <w:b/>
          <w:sz w:val="16"/>
          <w:szCs w:val="16"/>
        </w:rPr>
        <w:t>as metas gerais foram plenamente atingidas.</w:t>
      </w:r>
    </w:p>
    <w:p w:rsidR="007552E9" w:rsidRPr="00FF06DD" w:rsidRDefault="007552E9" w:rsidP="00FF06DD">
      <w:pPr>
        <w:spacing w:line="280" w:lineRule="exact"/>
        <w:jc w:val="both"/>
        <w:rPr>
          <w:rFonts w:ascii="Arial Narrow" w:hAnsi="Arial Narrow"/>
          <w:b/>
          <w:sz w:val="16"/>
          <w:szCs w:val="16"/>
        </w:rPr>
      </w:pPr>
    </w:p>
    <w:p w:rsidR="007552E9" w:rsidRPr="009E35AA" w:rsidRDefault="007552E9" w:rsidP="009E35AA">
      <w:pPr>
        <w:jc w:val="both"/>
        <w:rPr>
          <w:rFonts w:ascii="Arial Narrow" w:hAnsi="Arial Narrow"/>
          <w:b/>
          <w:sz w:val="16"/>
          <w:szCs w:val="16"/>
          <w:u w:val="single"/>
        </w:rPr>
      </w:pPr>
      <w:r w:rsidRPr="009E35AA">
        <w:rPr>
          <w:rFonts w:ascii="Arial Narrow" w:hAnsi="Arial Narrow"/>
          <w:b/>
          <w:sz w:val="16"/>
          <w:szCs w:val="16"/>
          <w:u w:val="single"/>
        </w:rPr>
        <w:t>Recomendações</w:t>
      </w:r>
    </w:p>
    <w:p w:rsidR="007552E9" w:rsidRPr="00B56B42" w:rsidRDefault="007552E9" w:rsidP="00B56B42">
      <w:pPr>
        <w:ind w:left="357"/>
        <w:jc w:val="both"/>
        <w:rPr>
          <w:rFonts w:ascii="Arial Narrow" w:hAnsi="Arial Narrow"/>
          <w:sz w:val="16"/>
          <w:szCs w:val="16"/>
        </w:rPr>
      </w:pPr>
      <w:r w:rsidRPr="009E35AA">
        <w:rPr>
          <w:rFonts w:ascii="Arial Narrow" w:hAnsi="Arial Narrow"/>
          <w:sz w:val="16"/>
          <w:szCs w:val="16"/>
        </w:rPr>
        <w:t>A</w:t>
      </w:r>
      <w:r w:rsidRPr="00B56B42">
        <w:t xml:space="preserve"> </w:t>
      </w:r>
      <w:r w:rsidRPr="00B56B42">
        <w:rPr>
          <w:rFonts w:ascii="Arial Narrow" w:hAnsi="Arial Narrow"/>
          <w:sz w:val="16"/>
          <w:szCs w:val="16"/>
        </w:rPr>
        <w:t xml:space="preserve">as recomendações aqui descritas tem o intuito de orientar as ações de gestão da </w:t>
      </w:r>
      <w:proofErr w:type="spellStart"/>
      <w:r w:rsidRPr="00B56B42">
        <w:rPr>
          <w:rFonts w:ascii="Arial Narrow" w:hAnsi="Arial Narrow"/>
          <w:sz w:val="16"/>
          <w:szCs w:val="16"/>
        </w:rPr>
        <w:t>O.S.</w:t>
      </w:r>
      <w:proofErr w:type="spellEnd"/>
      <w:r w:rsidRPr="00B56B42">
        <w:rPr>
          <w:rFonts w:ascii="Arial Narrow" w:hAnsi="Arial Narrow"/>
          <w:sz w:val="16"/>
          <w:szCs w:val="16"/>
        </w:rPr>
        <w:t xml:space="preserve"> e pautar decisões importantes para o segundo semestre, que poderão refletir de forma determinante nos resultados da Organização.</w:t>
      </w:r>
    </w:p>
    <w:p w:rsidR="007552E9" w:rsidRPr="00B56B42" w:rsidRDefault="007552E9" w:rsidP="00B56B42">
      <w:pPr>
        <w:pStyle w:val="PargrafodaLista"/>
        <w:numPr>
          <w:ilvl w:val="0"/>
          <w:numId w:val="3"/>
        </w:numPr>
        <w:jc w:val="both"/>
        <w:rPr>
          <w:rFonts w:ascii="Arial Narrow" w:hAnsi="Arial Narrow"/>
          <w:sz w:val="16"/>
          <w:szCs w:val="16"/>
        </w:rPr>
      </w:pPr>
      <w:r w:rsidRPr="00B56B42">
        <w:rPr>
          <w:rFonts w:ascii="Arial Narrow" w:hAnsi="Arial Narrow"/>
          <w:sz w:val="16"/>
          <w:szCs w:val="16"/>
        </w:rPr>
        <w:t>Manter os esforços para atingir a meta do resultado aplicável (IRLA), a fim de não comprometer recursos financeiros em longo prazo;</w:t>
      </w:r>
    </w:p>
    <w:p w:rsidR="007552E9" w:rsidRDefault="007552E9" w:rsidP="00B56B42">
      <w:pPr>
        <w:pStyle w:val="PargrafodaLista"/>
        <w:numPr>
          <w:ilvl w:val="0"/>
          <w:numId w:val="3"/>
        </w:numPr>
        <w:jc w:val="both"/>
        <w:rPr>
          <w:rFonts w:ascii="Arial Narrow" w:hAnsi="Arial Narrow"/>
          <w:sz w:val="16"/>
          <w:szCs w:val="16"/>
        </w:rPr>
      </w:pPr>
      <w:r w:rsidRPr="00B56B42">
        <w:rPr>
          <w:rFonts w:ascii="Arial Narrow" w:hAnsi="Arial Narrow"/>
          <w:sz w:val="16"/>
          <w:szCs w:val="16"/>
        </w:rPr>
        <w:t>Controlar os investimentos de forma a evitar comprometimento demasiado de recursos próprios.</w:t>
      </w:r>
    </w:p>
    <w:p w:rsidR="0043243A" w:rsidRPr="00B56B42" w:rsidRDefault="0043243A" w:rsidP="00B56B42">
      <w:pPr>
        <w:pStyle w:val="PargrafodaLista"/>
        <w:numPr>
          <w:ilvl w:val="0"/>
          <w:numId w:val="3"/>
        </w:numPr>
        <w:jc w:val="both"/>
        <w:rPr>
          <w:rFonts w:ascii="Arial Narrow" w:hAnsi="Arial Narrow"/>
          <w:sz w:val="16"/>
          <w:szCs w:val="16"/>
        </w:rPr>
      </w:pPr>
      <w:r>
        <w:rPr>
          <w:rFonts w:ascii="Arial Narrow" w:hAnsi="Arial Narrow"/>
          <w:sz w:val="16"/>
          <w:szCs w:val="16"/>
        </w:rPr>
        <w:t xml:space="preserve">A magnitude das ações realizadas pela </w:t>
      </w:r>
      <w:proofErr w:type="spellStart"/>
      <w:r>
        <w:rPr>
          <w:rFonts w:ascii="Arial Narrow" w:hAnsi="Arial Narrow"/>
          <w:sz w:val="16"/>
          <w:szCs w:val="16"/>
        </w:rPr>
        <w:t>O.S.</w:t>
      </w:r>
      <w:proofErr w:type="spellEnd"/>
      <w:r>
        <w:rPr>
          <w:rFonts w:ascii="Arial Narrow" w:hAnsi="Arial Narrow"/>
          <w:sz w:val="16"/>
          <w:szCs w:val="16"/>
        </w:rPr>
        <w:t xml:space="preserve"> e o seu impacto social deveria ter</w:t>
      </w:r>
      <w:proofErr w:type="gramStart"/>
      <w:r>
        <w:rPr>
          <w:rFonts w:ascii="Arial Narrow" w:hAnsi="Arial Narrow"/>
          <w:sz w:val="16"/>
          <w:szCs w:val="16"/>
        </w:rPr>
        <w:t xml:space="preserve">  </w:t>
      </w:r>
      <w:proofErr w:type="gramEnd"/>
      <w:r>
        <w:rPr>
          <w:rFonts w:ascii="Arial Narrow" w:hAnsi="Arial Narrow"/>
          <w:sz w:val="16"/>
          <w:szCs w:val="16"/>
        </w:rPr>
        <w:t>um espaço maior na mídia em geral. Entende-se que as ações da assessoria de imprensa poderiam ser mais intensas nesse sentido.</w:t>
      </w:r>
    </w:p>
    <w:p w:rsidR="007552E9" w:rsidRDefault="007552E9" w:rsidP="00B56B42">
      <w:pPr>
        <w:pStyle w:val="PargrafodaLista"/>
        <w:numPr>
          <w:ilvl w:val="0"/>
          <w:numId w:val="3"/>
        </w:numPr>
        <w:jc w:val="both"/>
        <w:rPr>
          <w:rFonts w:ascii="Arial Narrow" w:hAnsi="Arial Narrow"/>
          <w:sz w:val="16"/>
          <w:szCs w:val="16"/>
        </w:rPr>
      </w:pPr>
      <w:r w:rsidRPr="00B56B42">
        <w:rPr>
          <w:rFonts w:ascii="Arial Narrow" w:hAnsi="Arial Narrow"/>
          <w:sz w:val="16"/>
          <w:szCs w:val="16"/>
        </w:rPr>
        <w:t>Proporcionar maior agilidade nas informações a fim de não comprometer os prazos de lançamento dos registros contábeis e da interpretação das informações em tem hábil.</w:t>
      </w:r>
    </w:p>
    <w:p w:rsidR="0043243A" w:rsidRPr="00B56B42" w:rsidRDefault="0043243A" w:rsidP="00B56B42">
      <w:pPr>
        <w:pStyle w:val="PargrafodaLista"/>
        <w:numPr>
          <w:ilvl w:val="0"/>
          <w:numId w:val="3"/>
        </w:numPr>
        <w:jc w:val="both"/>
        <w:rPr>
          <w:rFonts w:ascii="Arial Narrow" w:hAnsi="Arial Narrow"/>
          <w:sz w:val="16"/>
          <w:szCs w:val="16"/>
        </w:rPr>
      </w:pPr>
      <w:r>
        <w:rPr>
          <w:rFonts w:ascii="Arial Narrow" w:hAnsi="Arial Narrow"/>
          <w:sz w:val="16"/>
          <w:szCs w:val="16"/>
        </w:rPr>
        <w:t xml:space="preserve">Acompanhar os indicadores de volumes </w:t>
      </w:r>
      <w:proofErr w:type="gramStart"/>
      <w:r>
        <w:rPr>
          <w:rFonts w:ascii="Arial Narrow" w:hAnsi="Arial Narrow"/>
          <w:sz w:val="16"/>
          <w:szCs w:val="16"/>
        </w:rPr>
        <w:t>comercializas</w:t>
      </w:r>
      <w:proofErr w:type="gramEnd"/>
      <w:r>
        <w:rPr>
          <w:rFonts w:ascii="Arial Narrow" w:hAnsi="Arial Narrow"/>
          <w:sz w:val="16"/>
          <w:szCs w:val="16"/>
        </w:rPr>
        <w:t xml:space="preserve"> haja vista as perspectivas pessimistas para a economia do ano de 2015.</w:t>
      </w:r>
    </w:p>
    <w:p w:rsidR="007552E9" w:rsidRPr="009E35AA" w:rsidRDefault="007552E9" w:rsidP="00E45C83">
      <w:pPr>
        <w:jc w:val="both"/>
        <w:rPr>
          <w:rFonts w:ascii="Arial Narrow" w:hAnsi="Arial Narrow"/>
          <w:sz w:val="16"/>
          <w:szCs w:val="16"/>
        </w:rPr>
      </w:pPr>
    </w:p>
    <w:p w:rsidR="007552E9" w:rsidRPr="00E45C83" w:rsidRDefault="007552E9" w:rsidP="0096311C">
      <w:pPr>
        <w:spacing w:line="360" w:lineRule="auto"/>
        <w:jc w:val="both"/>
        <w:rPr>
          <w:rFonts w:ascii="Arial Narrow" w:hAnsi="Arial Narrow"/>
          <w:b/>
          <w:sz w:val="16"/>
          <w:szCs w:val="16"/>
          <w:u w:val="single"/>
        </w:rPr>
      </w:pPr>
      <w:r w:rsidRPr="00E45C83">
        <w:rPr>
          <w:rFonts w:ascii="Arial Narrow" w:hAnsi="Arial Narrow"/>
          <w:b/>
          <w:sz w:val="16"/>
          <w:szCs w:val="16"/>
          <w:u w:val="single"/>
        </w:rPr>
        <w:t>Considerações Finais</w:t>
      </w:r>
    </w:p>
    <w:p w:rsidR="007552E9" w:rsidRDefault="007552E9" w:rsidP="009E35AA">
      <w:pPr>
        <w:jc w:val="both"/>
        <w:rPr>
          <w:rFonts w:ascii="Arial Narrow" w:hAnsi="Arial Narrow"/>
          <w:sz w:val="16"/>
          <w:szCs w:val="16"/>
        </w:rPr>
      </w:pPr>
      <w:r w:rsidRPr="00B56B42">
        <w:rPr>
          <w:rFonts w:ascii="Arial Narrow" w:hAnsi="Arial Narrow"/>
          <w:sz w:val="16"/>
          <w:szCs w:val="16"/>
        </w:rPr>
        <w:t>Cabe salientar que a CEASA-</w:t>
      </w:r>
      <w:proofErr w:type="gramStart"/>
      <w:r w:rsidRPr="00B56B42">
        <w:rPr>
          <w:rFonts w:ascii="Arial Narrow" w:hAnsi="Arial Narrow"/>
          <w:sz w:val="16"/>
          <w:szCs w:val="16"/>
        </w:rPr>
        <w:t>O.</w:t>
      </w:r>
      <w:proofErr w:type="gramEnd"/>
      <w:r w:rsidRPr="00B56B42">
        <w:rPr>
          <w:rFonts w:ascii="Arial Narrow" w:hAnsi="Arial Narrow"/>
          <w:sz w:val="16"/>
          <w:szCs w:val="16"/>
        </w:rPr>
        <w:t xml:space="preserve">S. tem mantido um bom desempenho, conseguindo </w:t>
      </w:r>
      <w:r w:rsidR="004A5183">
        <w:rPr>
          <w:rFonts w:ascii="Arial Narrow" w:hAnsi="Arial Narrow"/>
          <w:sz w:val="16"/>
          <w:szCs w:val="16"/>
        </w:rPr>
        <w:t>manter o quadro favorável alcançado em 2013, o que demonstra consistência na condução das estratégias e gerenciamento das operações</w:t>
      </w:r>
      <w:r w:rsidRPr="00B56B42">
        <w:rPr>
          <w:rFonts w:ascii="Arial Narrow" w:hAnsi="Arial Narrow"/>
          <w:sz w:val="16"/>
          <w:szCs w:val="16"/>
        </w:rPr>
        <w:t>.</w:t>
      </w:r>
      <w:r>
        <w:rPr>
          <w:rFonts w:ascii="Arial Narrow" w:hAnsi="Arial Narrow"/>
          <w:sz w:val="16"/>
          <w:szCs w:val="16"/>
        </w:rPr>
        <w:t xml:space="preserve"> </w:t>
      </w:r>
    </w:p>
    <w:p w:rsidR="007552E9" w:rsidRDefault="007552E9" w:rsidP="009E35AA">
      <w:pPr>
        <w:jc w:val="both"/>
        <w:rPr>
          <w:rFonts w:ascii="Arial Narrow" w:hAnsi="Arial Narrow"/>
          <w:sz w:val="16"/>
          <w:szCs w:val="16"/>
        </w:rPr>
      </w:pPr>
    </w:p>
    <w:p w:rsidR="007552E9" w:rsidRPr="009E35AA" w:rsidRDefault="007552E9" w:rsidP="009E35AA">
      <w:pPr>
        <w:jc w:val="both"/>
        <w:rPr>
          <w:rFonts w:ascii="Arial Narrow" w:hAnsi="Arial Narrow"/>
          <w:sz w:val="16"/>
          <w:szCs w:val="16"/>
        </w:rPr>
      </w:pPr>
      <w:r>
        <w:rPr>
          <w:rFonts w:ascii="Arial Narrow" w:hAnsi="Arial Narrow"/>
          <w:sz w:val="16"/>
          <w:szCs w:val="16"/>
        </w:rPr>
        <w:t xml:space="preserve">É visível que a </w:t>
      </w:r>
      <w:r w:rsidRPr="004550AF">
        <w:rPr>
          <w:rFonts w:ascii="Arial Narrow" w:hAnsi="Arial Narrow"/>
          <w:sz w:val="16"/>
          <w:szCs w:val="16"/>
        </w:rPr>
        <w:t>CEASA</w:t>
      </w:r>
      <w:r>
        <w:rPr>
          <w:rFonts w:ascii="Arial Narrow" w:hAnsi="Arial Narrow"/>
          <w:sz w:val="16"/>
          <w:szCs w:val="16"/>
        </w:rPr>
        <w:t>-PE/OS</w:t>
      </w:r>
      <w:proofErr w:type="gramStart"/>
      <w:r w:rsidRPr="004550AF">
        <w:rPr>
          <w:rFonts w:ascii="Arial Narrow" w:hAnsi="Arial Narrow"/>
          <w:sz w:val="16"/>
          <w:szCs w:val="16"/>
        </w:rPr>
        <w:t xml:space="preserve"> </w:t>
      </w:r>
      <w:r w:rsidR="0048281A">
        <w:rPr>
          <w:rFonts w:ascii="Arial Narrow" w:hAnsi="Arial Narrow"/>
          <w:sz w:val="16"/>
          <w:szCs w:val="16"/>
        </w:rPr>
        <w:t xml:space="preserve"> </w:t>
      </w:r>
      <w:proofErr w:type="gramEnd"/>
      <w:r w:rsidR="0048281A">
        <w:rPr>
          <w:rFonts w:ascii="Arial Narrow" w:hAnsi="Arial Narrow"/>
          <w:sz w:val="16"/>
          <w:szCs w:val="16"/>
        </w:rPr>
        <w:t>assumiu seu papel de grande Centro Logístico de Abastecimento do Estado e diversos aspectos precisam ser reavaliados. Um desses aspectos desrespeito ao próprio indicador que confronta os custos da Organização com os volumes comercializados. Uma vez que esses custos tenham aumentado em função da diversificação das receitas, é importante que o indicador seja revisto para um futuro próximo.</w:t>
      </w:r>
      <w:bookmarkStart w:id="0" w:name="_GoBack"/>
      <w:bookmarkEnd w:id="0"/>
    </w:p>
    <w:p w:rsidR="007552E9" w:rsidRDefault="007552E9" w:rsidP="009E35AA">
      <w:pPr>
        <w:jc w:val="both"/>
        <w:rPr>
          <w:rFonts w:ascii="Arial Narrow" w:hAnsi="Arial Narrow"/>
          <w:sz w:val="16"/>
          <w:szCs w:val="16"/>
        </w:rPr>
      </w:pPr>
    </w:p>
    <w:p w:rsidR="007552E9" w:rsidRPr="009E35AA" w:rsidRDefault="007552E9" w:rsidP="009E35AA">
      <w:pPr>
        <w:jc w:val="both"/>
        <w:rPr>
          <w:rFonts w:ascii="Arial Narrow" w:hAnsi="Arial Narrow"/>
          <w:sz w:val="16"/>
          <w:szCs w:val="16"/>
        </w:rPr>
      </w:pPr>
      <w:r w:rsidRPr="009E35AA">
        <w:rPr>
          <w:rFonts w:ascii="Arial Narrow" w:hAnsi="Arial Narrow"/>
          <w:sz w:val="16"/>
          <w:szCs w:val="16"/>
        </w:rPr>
        <w:t xml:space="preserve">A filosofia do </w:t>
      </w:r>
      <w:proofErr w:type="spellStart"/>
      <w:r w:rsidRPr="009E35AA">
        <w:rPr>
          <w:rFonts w:ascii="Arial Narrow" w:hAnsi="Arial Narrow"/>
          <w:sz w:val="16"/>
          <w:szCs w:val="16"/>
        </w:rPr>
        <w:t>Balanced</w:t>
      </w:r>
      <w:proofErr w:type="spellEnd"/>
      <w:r w:rsidRPr="009E35AA">
        <w:rPr>
          <w:rFonts w:ascii="Arial Narrow" w:hAnsi="Arial Narrow"/>
          <w:sz w:val="16"/>
          <w:szCs w:val="16"/>
        </w:rPr>
        <w:t xml:space="preserve"> </w:t>
      </w:r>
      <w:proofErr w:type="spellStart"/>
      <w:r w:rsidRPr="009E35AA">
        <w:rPr>
          <w:rFonts w:ascii="Arial Narrow" w:hAnsi="Arial Narrow"/>
          <w:sz w:val="16"/>
          <w:szCs w:val="16"/>
        </w:rPr>
        <w:t>Scorecard</w:t>
      </w:r>
      <w:proofErr w:type="spellEnd"/>
      <w:r w:rsidRPr="009E35AA">
        <w:rPr>
          <w:rFonts w:ascii="Arial Narrow" w:hAnsi="Arial Narrow"/>
          <w:sz w:val="16"/>
          <w:szCs w:val="16"/>
        </w:rPr>
        <w:t xml:space="preserve">, ou pontuação balanceada utilizada na metodologia de avaliação da OS contempla justamente o equilíbrio entre os aspectos avaliados, aos </w:t>
      </w:r>
      <w:proofErr w:type="gramStart"/>
      <w:r w:rsidRPr="009E35AA">
        <w:rPr>
          <w:rFonts w:ascii="Arial Narrow" w:hAnsi="Arial Narrow"/>
          <w:sz w:val="16"/>
          <w:szCs w:val="16"/>
        </w:rPr>
        <w:t xml:space="preserve">quais </w:t>
      </w:r>
      <w:r>
        <w:rPr>
          <w:rFonts w:ascii="Arial Narrow" w:hAnsi="Arial Narrow"/>
          <w:sz w:val="16"/>
          <w:szCs w:val="16"/>
        </w:rPr>
        <w:t>o</w:t>
      </w:r>
      <w:proofErr w:type="gramEnd"/>
      <w:r w:rsidRPr="009E35AA">
        <w:rPr>
          <w:rFonts w:ascii="Arial Narrow" w:hAnsi="Arial Narrow"/>
          <w:sz w:val="16"/>
          <w:szCs w:val="16"/>
        </w:rPr>
        <w:t xml:space="preserve"> CEASA-PE tem se mantido fiel no sentido de buscar atender a todos.</w:t>
      </w:r>
    </w:p>
    <w:p w:rsidR="007552E9" w:rsidRDefault="007552E9" w:rsidP="000818F7">
      <w:pPr>
        <w:jc w:val="both"/>
        <w:rPr>
          <w:rFonts w:ascii="Arial Narrow" w:hAnsi="Arial Narrow"/>
          <w:sz w:val="16"/>
          <w:szCs w:val="16"/>
        </w:rPr>
      </w:pPr>
    </w:p>
    <w:p w:rsidR="007552E9" w:rsidRDefault="007552E9" w:rsidP="000818F7">
      <w:pPr>
        <w:jc w:val="both"/>
        <w:rPr>
          <w:rFonts w:ascii="Arial Narrow" w:hAnsi="Arial Narrow"/>
          <w:sz w:val="16"/>
          <w:szCs w:val="16"/>
        </w:rPr>
      </w:pPr>
      <w:r>
        <w:rPr>
          <w:rFonts w:ascii="Arial Narrow" w:hAnsi="Arial Narrow"/>
          <w:sz w:val="16"/>
          <w:szCs w:val="16"/>
        </w:rPr>
        <w:t>De modo geral, o</w:t>
      </w:r>
      <w:r w:rsidRPr="009E35AA">
        <w:rPr>
          <w:rFonts w:ascii="Arial Narrow" w:hAnsi="Arial Narrow"/>
          <w:sz w:val="16"/>
          <w:szCs w:val="16"/>
        </w:rPr>
        <w:t xml:space="preserve"> CEASA-</w:t>
      </w:r>
      <w:proofErr w:type="gramStart"/>
      <w:r w:rsidRPr="009E35AA">
        <w:rPr>
          <w:rFonts w:ascii="Arial Narrow" w:hAnsi="Arial Narrow"/>
          <w:sz w:val="16"/>
          <w:szCs w:val="16"/>
        </w:rPr>
        <w:t>PE/O.</w:t>
      </w:r>
      <w:proofErr w:type="gramEnd"/>
      <w:r w:rsidRPr="009E35AA">
        <w:rPr>
          <w:rFonts w:ascii="Arial Narrow" w:hAnsi="Arial Narrow"/>
          <w:sz w:val="16"/>
          <w:szCs w:val="16"/>
        </w:rPr>
        <w:t>S. apresenta solidez em seu desempenho, atingindo um patamar de excelência em gestão. Os indicadores retratam a seriedade na</w:t>
      </w:r>
      <w:r>
        <w:rPr>
          <w:rFonts w:ascii="Arial Narrow" w:hAnsi="Arial Narrow"/>
          <w:sz w:val="16"/>
          <w:szCs w:val="16"/>
        </w:rPr>
        <w:t>s ações e precisam ser mantidos.</w:t>
      </w:r>
    </w:p>
    <w:p w:rsidR="007552E9" w:rsidRDefault="007552E9" w:rsidP="000818F7">
      <w:pPr>
        <w:jc w:val="both"/>
        <w:rPr>
          <w:rFonts w:ascii="Arial Narrow" w:hAnsi="Arial Narrow"/>
          <w:sz w:val="16"/>
          <w:szCs w:val="16"/>
        </w:rPr>
      </w:pPr>
    </w:p>
    <w:p w:rsidR="007552E9" w:rsidRDefault="007552E9" w:rsidP="000818F7">
      <w:pPr>
        <w:jc w:val="both"/>
        <w:rPr>
          <w:rFonts w:ascii="Arial Narrow" w:hAnsi="Arial Narrow"/>
          <w:sz w:val="16"/>
          <w:szCs w:val="16"/>
        </w:rPr>
      </w:pPr>
    </w:p>
    <w:p w:rsidR="007552E9" w:rsidRDefault="00AB0B21" w:rsidP="000818F7">
      <w:pPr>
        <w:jc w:val="both"/>
        <w:rPr>
          <w:rFonts w:ascii="Arial Narrow" w:hAnsi="Arial Narrow"/>
          <w:sz w:val="16"/>
          <w:szCs w:val="16"/>
        </w:rPr>
      </w:pPr>
      <w:r>
        <w:rPr>
          <w:noProof/>
        </w:rPr>
        <w:drawing>
          <wp:anchor distT="0" distB="0" distL="114300" distR="114300" simplePos="0" relativeHeight="251658240" behindDoc="0" locked="0" layoutInCell="1" allowOverlap="1">
            <wp:simplePos x="0" y="0"/>
            <wp:positionH relativeFrom="column">
              <wp:posOffset>1778635</wp:posOffset>
            </wp:positionH>
            <wp:positionV relativeFrom="paragraph">
              <wp:posOffset>26035</wp:posOffset>
            </wp:positionV>
            <wp:extent cx="880110" cy="603885"/>
            <wp:effectExtent l="0" t="0" r="0" b="0"/>
            <wp:wrapNone/>
            <wp:docPr id="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srcRect/>
                    <a:stretch>
                      <a:fillRect/>
                    </a:stretch>
                  </pic:blipFill>
                  <pic:spPr bwMode="auto">
                    <a:xfrm>
                      <a:off x="0" y="0"/>
                      <a:ext cx="880110" cy="603885"/>
                    </a:xfrm>
                    <a:prstGeom prst="rect">
                      <a:avLst/>
                    </a:prstGeom>
                    <a:noFill/>
                  </pic:spPr>
                </pic:pic>
              </a:graphicData>
            </a:graphic>
          </wp:anchor>
        </w:drawing>
      </w:r>
      <w:r>
        <w:rPr>
          <w:rFonts w:ascii="Arial Narrow" w:hAnsi="Arial Narrow"/>
          <w:noProof/>
          <w:sz w:val="16"/>
          <w:szCs w:val="16"/>
        </w:rPr>
        <w:drawing>
          <wp:inline distT="0" distB="0" distL="0" distR="0">
            <wp:extent cx="1562100" cy="504825"/>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srcRect/>
                    <a:stretch>
                      <a:fillRect/>
                    </a:stretch>
                  </pic:blipFill>
                  <pic:spPr bwMode="auto">
                    <a:xfrm>
                      <a:off x="0" y="0"/>
                      <a:ext cx="1562100" cy="504825"/>
                    </a:xfrm>
                    <a:prstGeom prst="rect">
                      <a:avLst/>
                    </a:prstGeom>
                    <a:noFill/>
                    <a:ln w="9525">
                      <a:noFill/>
                      <a:miter lim="800000"/>
                      <a:headEnd/>
                      <a:tailEnd/>
                    </a:ln>
                  </pic:spPr>
                </pic:pic>
              </a:graphicData>
            </a:graphic>
          </wp:inline>
        </w:drawing>
      </w:r>
    </w:p>
    <w:p w:rsidR="007552E9" w:rsidRPr="00371863" w:rsidRDefault="007552E9" w:rsidP="000818F7">
      <w:pPr>
        <w:jc w:val="both"/>
        <w:rPr>
          <w:rFonts w:ascii="Arial Narrow" w:hAnsi="Arial Narrow"/>
          <w:b/>
          <w:sz w:val="16"/>
          <w:szCs w:val="16"/>
        </w:rPr>
      </w:pPr>
      <w:r>
        <w:rPr>
          <w:rFonts w:ascii="Arial Narrow" w:hAnsi="Arial Narrow"/>
          <w:b/>
          <w:sz w:val="16"/>
          <w:szCs w:val="16"/>
        </w:rPr>
        <w:t xml:space="preserve">    </w:t>
      </w:r>
      <w:r w:rsidRPr="00371863">
        <w:rPr>
          <w:rFonts w:ascii="Arial Narrow" w:hAnsi="Arial Narrow"/>
          <w:b/>
          <w:sz w:val="16"/>
          <w:szCs w:val="16"/>
        </w:rPr>
        <w:t>EMPRESA CREDENCIADA SEBRAE</w:t>
      </w:r>
    </w:p>
    <w:p w:rsidR="007552E9" w:rsidRPr="009E35AA" w:rsidRDefault="007552E9" w:rsidP="000818F7">
      <w:pPr>
        <w:jc w:val="both"/>
        <w:rPr>
          <w:rFonts w:ascii="Arial Narrow" w:hAnsi="Arial Narrow"/>
          <w:sz w:val="16"/>
          <w:szCs w:val="16"/>
        </w:rPr>
      </w:pPr>
    </w:p>
    <w:sectPr w:rsidR="007552E9" w:rsidRPr="009E35AA" w:rsidSect="00523B4D">
      <w:pgSz w:w="16838" w:h="11906" w:orient="landscape"/>
      <w:pgMar w:top="709" w:right="1134" w:bottom="709" w:left="1134"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05E5"/>
    <w:multiLevelType w:val="multilevel"/>
    <w:tmpl w:val="F36ABA52"/>
    <w:lvl w:ilvl="0">
      <w:start w:val="1"/>
      <w:numFmt w:val="decimal"/>
      <w:lvlText w:val="%1."/>
      <w:lvlJc w:val="left"/>
      <w:pPr>
        <w:tabs>
          <w:tab w:val="num" w:pos="765"/>
        </w:tabs>
        <w:ind w:left="765" w:hanging="40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2D596EDC"/>
    <w:multiLevelType w:val="hybridMultilevel"/>
    <w:tmpl w:val="9C32B924"/>
    <w:lvl w:ilvl="0" w:tplc="04160003">
      <w:start w:val="1"/>
      <w:numFmt w:val="bullet"/>
      <w:lvlText w:val="o"/>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33131314"/>
    <w:multiLevelType w:val="hybridMultilevel"/>
    <w:tmpl w:val="3D765458"/>
    <w:lvl w:ilvl="0" w:tplc="04160001">
      <w:start w:val="1"/>
      <w:numFmt w:val="bullet"/>
      <w:lvlText w:val=""/>
      <w:lvlJc w:val="left"/>
      <w:pPr>
        <w:ind w:left="717" w:hanging="360"/>
      </w:pPr>
      <w:rPr>
        <w:rFonts w:ascii="Symbol" w:hAnsi="Symbol" w:hint="default"/>
      </w:rPr>
    </w:lvl>
    <w:lvl w:ilvl="1" w:tplc="04160003" w:tentative="1">
      <w:start w:val="1"/>
      <w:numFmt w:val="bullet"/>
      <w:lvlText w:val="o"/>
      <w:lvlJc w:val="left"/>
      <w:pPr>
        <w:ind w:left="1437" w:hanging="360"/>
      </w:pPr>
      <w:rPr>
        <w:rFonts w:ascii="Courier New" w:hAnsi="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hint="default"/>
      </w:rPr>
    </w:lvl>
    <w:lvl w:ilvl="8" w:tplc="0416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EB4A8C"/>
    <w:rsid w:val="00010ED5"/>
    <w:rsid w:val="00012A75"/>
    <w:rsid w:val="000360EB"/>
    <w:rsid w:val="000818F7"/>
    <w:rsid w:val="000B5847"/>
    <w:rsid w:val="00106F06"/>
    <w:rsid w:val="00112AD8"/>
    <w:rsid w:val="0011652F"/>
    <w:rsid w:val="00137434"/>
    <w:rsid w:val="001D76CF"/>
    <w:rsid w:val="002246B7"/>
    <w:rsid w:val="00227E77"/>
    <w:rsid w:val="00235824"/>
    <w:rsid w:val="00244AA1"/>
    <w:rsid w:val="00295717"/>
    <w:rsid w:val="002A5E4F"/>
    <w:rsid w:val="003238C7"/>
    <w:rsid w:val="003359F3"/>
    <w:rsid w:val="00371863"/>
    <w:rsid w:val="003A2369"/>
    <w:rsid w:val="003B0BA1"/>
    <w:rsid w:val="003D012A"/>
    <w:rsid w:val="003E2614"/>
    <w:rsid w:val="00415AB1"/>
    <w:rsid w:val="0043243A"/>
    <w:rsid w:val="004453A8"/>
    <w:rsid w:val="004550AF"/>
    <w:rsid w:val="0048281A"/>
    <w:rsid w:val="004A5183"/>
    <w:rsid w:val="004A573C"/>
    <w:rsid w:val="004E2624"/>
    <w:rsid w:val="004E422F"/>
    <w:rsid w:val="00522F10"/>
    <w:rsid w:val="00523B4D"/>
    <w:rsid w:val="00536B9C"/>
    <w:rsid w:val="005A01AF"/>
    <w:rsid w:val="005D6E20"/>
    <w:rsid w:val="0060162C"/>
    <w:rsid w:val="006D47AB"/>
    <w:rsid w:val="006D6949"/>
    <w:rsid w:val="00726179"/>
    <w:rsid w:val="007552E9"/>
    <w:rsid w:val="0075595A"/>
    <w:rsid w:val="00774253"/>
    <w:rsid w:val="007806F9"/>
    <w:rsid w:val="008046C4"/>
    <w:rsid w:val="0082735A"/>
    <w:rsid w:val="00837635"/>
    <w:rsid w:val="00851592"/>
    <w:rsid w:val="00862462"/>
    <w:rsid w:val="008B70E3"/>
    <w:rsid w:val="008D31C4"/>
    <w:rsid w:val="008F637A"/>
    <w:rsid w:val="00902123"/>
    <w:rsid w:val="0096311C"/>
    <w:rsid w:val="009739EA"/>
    <w:rsid w:val="009D6F2E"/>
    <w:rsid w:val="009E0EF4"/>
    <w:rsid w:val="009E35AA"/>
    <w:rsid w:val="00AB0B21"/>
    <w:rsid w:val="00AC20FF"/>
    <w:rsid w:val="00AE780A"/>
    <w:rsid w:val="00B37DF1"/>
    <w:rsid w:val="00B56B42"/>
    <w:rsid w:val="00B85804"/>
    <w:rsid w:val="00B905E0"/>
    <w:rsid w:val="00BC33BD"/>
    <w:rsid w:val="00BF13CF"/>
    <w:rsid w:val="00C148EE"/>
    <w:rsid w:val="00C343F0"/>
    <w:rsid w:val="00C6248B"/>
    <w:rsid w:val="00C944EA"/>
    <w:rsid w:val="00CD3D85"/>
    <w:rsid w:val="00CD677E"/>
    <w:rsid w:val="00CE170E"/>
    <w:rsid w:val="00CE68A7"/>
    <w:rsid w:val="00CF08AA"/>
    <w:rsid w:val="00D13904"/>
    <w:rsid w:val="00E032C8"/>
    <w:rsid w:val="00E45C83"/>
    <w:rsid w:val="00E770CA"/>
    <w:rsid w:val="00EB4A8C"/>
    <w:rsid w:val="00F4713F"/>
    <w:rsid w:val="00F7581F"/>
    <w:rsid w:val="00FF06DD"/>
    <w:rsid w:val="00FF08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8C"/>
    <w:rPr>
      <w:rFonts w:ascii="Arial" w:hAnsi="Arial"/>
      <w:sz w:val="24"/>
      <w:szCs w:val="20"/>
    </w:rPr>
  </w:style>
  <w:style w:type="paragraph" w:styleId="Ttulo9">
    <w:name w:val="heading 9"/>
    <w:basedOn w:val="Normal"/>
    <w:next w:val="Normal"/>
    <w:link w:val="Ttulo9Char"/>
    <w:uiPriority w:val="99"/>
    <w:qFormat/>
    <w:rsid w:val="00EB4A8C"/>
    <w:pPr>
      <w:keepNext/>
      <w:outlineLvl w:val="8"/>
    </w:pPr>
    <w:rPr>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semiHidden/>
    <w:rsid w:val="000A71D9"/>
    <w:rPr>
      <w:rFonts w:asciiTheme="majorHAnsi" w:eastAsiaTheme="majorEastAsia" w:hAnsiTheme="majorHAnsi" w:cstheme="majorBidi"/>
    </w:rPr>
  </w:style>
  <w:style w:type="paragraph" w:styleId="NormalWeb">
    <w:name w:val="Normal (Web)"/>
    <w:basedOn w:val="Normal"/>
    <w:uiPriority w:val="99"/>
    <w:rsid w:val="00EB4A8C"/>
    <w:pPr>
      <w:spacing w:before="100" w:beforeAutospacing="1" w:after="100" w:afterAutospacing="1"/>
    </w:pPr>
    <w:rPr>
      <w:rFonts w:ascii="Times New Roman" w:hAnsi="Times New Roman"/>
      <w:color w:val="000000"/>
      <w:szCs w:val="24"/>
    </w:rPr>
  </w:style>
  <w:style w:type="table" w:styleId="Tabelacomgrade">
    <w:name w:val="Table Grid"/>
    <w:basedOn w:val="Tabelanormal"/>
    <w:uiPriority w:val="99"/>
    <w:rsid w:val="00EB4A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112AD8"/>
    <w:rPr>
      <w:rFonts w:ascii="Tahoma" w:hAnsi="Tahoma" w:cs="Tahoma"/>
      <w:sz w:val="16"/>
      <w:szCs w:val="16"/>
    </w:rPr>
  </w:style>
  <w:style w:type="character" w:customStyle="1" w:styleId="TextodebaloChar">
    <w:name w:val="Texto de balão Char"/>
    <w:basedOn w:val="Fontepargpadro"/>
    <w:link w:val="Textodebalo"/>
    <w:uiPriority w:val="99"/>
    <w:locked/>
    <w:rsid w:val="00112AD8"/>
    <w:rPr>
      <w:rFonts w:ascii="Tahoma" w:hAnsi="Tahoma" w:cs="Tahoma"/>
      <w:sz w:val="16"/>
      <w:szCs w:val="16"/>
    </w:rPr>
  </w:style>
  <w:style w:type="paragraph" w:styleId="PargrafodaLista">
    <w:name w:val="List Paragraph"/>
    <w:basedOn w:val="Normal"/>
    <w:uiPriority w:val="99"/>
    <w:qFormat/>
    <w:rsid w:val="00B56B42"/>
    <w:pPr>
      <w:ind w:left="720"/>
      <w:contextualSpacing/>
    </w:pPr>
  </w:style>
</w:styles>
</file>

<file path=word/webSettings.xml><?xml version="1.0" encoding="utf-8"?>
<w:webSettings xmlns:r="http://schemas.openxmlformats.org/officeDocument/2006/relationships" xmlns:w="http://schemas.openxmlformats.org/wordprocessingml/2006/main">
  <w:divs>
    <w:div w:id="1603760553">
      <w:bodyDiv w:val="1"/>
      <w:marLeft w:val="0"/>
      <w:marRight w:val="0"/>
      <w:marTop w:val="0"/>
      <w:marBottom w:val="0"/>
      <w:divBdr>
        <w:top w:val="none" w:sz="0" w:space="0" w:color="auto"/>
        <w:left w:val="none" w:sz="0" w:space="0" w:color="auto"/>
        <w:bottom w:val="none" w:sz="0" w:space="0" w:color="auto"/>
        <w:right w:val="none" w:sz="0" w:space="0" w:color="auto"/>
      </w:divBdr>
    </w:div>
    <w:div w:id="1836218362">
      <w:marLeft w:val="0"/>
      <w:marRight w:val="0"/>
      <w:marTop w:val="0"/>
      <w:marBottom w:val="0"/>
      <w:divBdr>
        <w:top w:val="none" w:sz="0" w:space="0" w:color="auto"/>
        <w:left w:val="none" w:sz="0" w:space="0" w:color="auto"/>
        <w:bottom w:val="none" w:sz="0" w:space="0" w:color="auto"/>
        <w:right w:val="none" w:sz="0" w:space="0" w:color="auto"/>
      </w:divBdr>
    </w:div>
    <w:div w:id="1836218363">
      <w:marLeft w:val="0"/>
      <w:marRight w:val="0"/>
      <w:marTop w:val="0"/>
      <w:marBottom w:val="0"/>
      <w:divBdr>
        <w:top w:val="none" w:sz="0" w:space="0" w:color="auto"/>
        <w:left w:val="none" w:sz="0" w:space="0" w:color="auto"/>
        <w:bottom w:val="none" w:sz="0" w:space="0" w:color="auto"/>
        <w:right w:val="none" w:sz="0" w:space="0" w:color="auto"/>
      </w:divBdr>
    </w:div>
    <w:div w:id="19389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1178</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de Tarso</dc:creator>
  <cp:lastModifiedBy>Morais</cp:lastModifiedBy>
  <cp:revision>9</cp:revision>
  <cp:lastPrinted>2015-03-27T13:14:00Z</cp:lastPrinted>
  <dcterms:created xsi:type="dcterms:W3CDTF">2015-03-26T16:56:00Z</dcterms:created>
  <dcterms:modified xsi:type="dcterms:W3CDTF">2015-03-27T13:14:00Z</dcterms:modified>
</cp:coreProperties>
</file>